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Assignment 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Mikhail Ostanin, Stanislav Mikhel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Virtual Joint Model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For each leg of the given robot VJM model has the following structure (figure 1). </w:t>
      </w:r>
      <w:r>
        <w:rPr/>
        <w:t xml:space="preserve">Here we assume that base and platform are rigid. In order to build VJM model we introduce 1 degree of freedom (DOF) spring for active joint and two 6 DOF springs for links.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5770" cy="20459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1. VJM model structure structure.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Matrix transformation model can be found as: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Base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7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13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Tool</m:t>
            </m:r>
          </m:sub>
        </m:sSub>
      </m:oMath>
    </w:p>
    <w:p>
      <w:pPr>
        <w:pStyle w:val="Normal"/>
        <w:jc w:val="both"/>
        <w:rPr/>
      </w:pPr>
      <w:r>
        <w:rPr/>
        <w:t xml:space="preserve">where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- angle of active joint,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- passive angles,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- length of the links,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13</m:t>
            </m:r>
          </m:sub>
        </m:sSub>
      </m:oMath>
      <w:r>
        <w:rPr/>
        <w:t xml:space="preserve">- virtual joints,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</m:e>
        </m:d>
      </m:oMath>
      <w:r>
        <w:rPr/>
        <w:t xml:space="preserve">- 6 DOF virtual joint transformation.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Stiffness calculation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In order to find stiffness matrix in Cartesian space we have to know Jacobians for virtual and passive joints, and also stiffness in joint space. </w:t>
      </w:r>
      <w:r>
        <w:rPr/>
        <w:t xml:space="preserve">Both Jacobians was calculated with the help of numerical derivatives. Matrix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θ</m:t>
            </m:r>
          </m:sub>
        </m:sSub>
      </m:oMath>
      <w:r>
        <w:rPr/>
        <w:t xml:space="preserve">has size 6x13 and implemented in function </w:t>
      </w:r>
      <w:r>
        <w:rPr>
          <w:i/>
          <w:iCs/>
        </w:rPr>
        <w:t>J_theta</w:t>
      </w:r>
      <w:r>
        <w:rPr/>
        <w:t xml:space="preserve">() using zero-value matrix derivative. Size of matrix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</m:oMath>
      <w:r>
        <w:rPr/>
        <w:t xml:space="preserve">is 6x2, it can be calculated by the function </w:t>
      </w:r>
      <w:r>
        <w:rPr>
          <w:i/>
          <w:iCs/>
        </w:rPr>
        <w:t>J_passive</w:t>
      </w:r>
      <w:r>
        <w:rPr/>
        <w:t xml:space="preserve">(). Stiffness matrix in joint space for one link was calculated in assumption that the cross section has form of quill cylinder. Its implementation can be found in </w:t>
      </w:r>
      <w:r>
        <w:rPr>
          <w:i/>
          <w:iCs/>
        </w:rPr>
        <w:t>K_theta</w:t>
      </w:r>
      <w:r>
        <w:rPr/>
        <w:t xml:space="preserve">().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result C</w:t>
      </w:r>
      <w:r>
        <w:rPr/>
        <w:t xml:space="preserve">artesian stiffness matrix </w:t>
      </w:r>
      <w:r>
        <w:rPr/>
        <w:t>is calculated using analytical solution: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</m:oMath>
      <w:r>
        <w:rPr/>
        <w:t xml:space="preserve"> </w:t>
      </w:r>
      <w:r>
        <w:rPr/>
        <w:t>,</w:t>
      </w:r>
    </w:p>
    <w:p>
      <w:pPr>
        <w:pStyle w:val="Normal"/>
        <w:jc w:val="both"/>
        <w:rPr/>
      </w:pPr>
      <w:r>
        <w:rPr/>
        <w:t xml:space="preserve">where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θ</m:t>
                    </m:r>
                  </m:sub>
                </m:sSub>
                <m:sSub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sSub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q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bSup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</m:oMath>
      <w:r>
        <w:rPr/>
        <w:t xml:space="preserve">. Details can be found in function </w:t>
      </w:r>
      <w:r>
        <w:rPr>
          <w:i/>
          <w:iCs/>
        </w:rPr>
        <w:t>Kc_leg()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1</Pages>
  <Words>206</Words>
  <Characters>1048</Characters>
  <CharactersWithSpaces>1245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2018-03-24T17:09:52Z</dcterms:created>
  <dc:creator/>
  <dc:description/>
  <dc:language>en-US</dc:language>
  <cp:lastModifiedBy/>
  <dcterms:modified xsi:type="dcterms:W3CDTF">2018-03-24T18:11:56Z</dcterms:modified>
  <cp:revision>8</cp:revision>
  <dc:subject/>
  <dc:title/>
</cp:coreProperties>
</file>