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280" w:lineRule="auto"/>
        <w:jc w:val="center"/>
        <w:rPr>
          <w:rFonts w:ascii="Times New Roman" w:cs="Times New Roman" w:eastAsia="Times New Roman" w:hAnsi="Times New Roman"/>
          <w:sz w:val="24"/>
          <w:szCs w:val="24"/>
        </w:rPr>
      </w:pPr>
      <w:bookmarkStart w:colFirst="0" w:colLast="0" w:name="_k7bcm9s44pyx" w:id="0"/>
      <w:bookmarkEnd w:id="0"/>
      <w:r w:rsidDel="00000000" w:rsidR="00000000" w:rsidRPr="00000000">
        <w:rPr>
          <w:rFonts w:ascii="Times New Roman" w:cs="Times New Roman" w:eastAsia="Times New Roman" w:hAnsi="Times New Roman"/>
          <w:rtl w:val="0"/>
        </w:rPr>
        <w:t xml:space="preserve">Chapter 3 : Bank</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ivbygu4a9qg" w:id="1"/>
      <w:bookmarkEnd w:id="1"/>
      <w:r w:rsidDel="00000000" w:rsidR="00000000" w:rsidRPr="00000000">
        <w:rPr>
          <w:rFonts w:ascii="Times New Roman" w:cs="Times New Roman" w:eastAsia="Times New Roman" w:hAnsi="Times New Roman"/>
          <w:b w:val="1"/>
          <w:bCs w:val="1"/>
          <w:color w:val="000000"/>
          <w:sz w:val="26"/>
          <w:szCs w:val="26"/>
          <w:rtl w:val="0"/>
        </w:rPr>
        <w:t xml:space="preserve">3.1 What banks do </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Banks matter because they sit at the center of two things every modern economy needs to function: </w:t>
      </w:r>
      <w:r w:rsidDel="00000000" w:rsidR="00000000" w:rsidRPr="00000000">
        <w:rPr>
          <w:rFonts w:ascii="Times New Roman" w:cs="Times New Roman" w:eastAsia="Times New Roman" w:hAnsi="Times New Roman"/>
          <w:b w:val="1"/>
          <w:bCs w:val="1"/>
          <w:sz w:val="24"/>
          <w:szCs w:val="24"/>
          <w:rtl w:val="0"/>
        </w:rPr>
        <w:t xml:space="preserve">financial intermediation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payments</w:t>
      </w:r>
      <w:r w:rsidDel="00000000" w:rsidR="00000000" w:rsidRPr="00000000">
        <w:rPr>
          <w:rFonts w:ascii="Times New Roman" w:cs="Times New Roman" w:eastAsia="Times New Roman" w:hAnsi="Times New Roman"/>
          <w:sz w:val="24"/>
          <w:szCs w:val="24"/>
          <w:rtl w:val="0"/>
        </w:rPr>
        <w:t xml:space="preserve">. In simple terms, a bank is a type of </w:t>
      </w:r>
      <w:r w:rsidDel="00000000" w:rsidR="00000000" w:rsidRPr="00000000">
        <w:rPr>
          <w:rFonts w:ascii="Times New Roman" w:cs="Times New Roman" w:eastAsia="Times New Roman" w:hAnsi="Times New Roman"/>
          <w:b w:val="1"/>
          <w:bCs w:val="1"/>
          <w:sz w:val="24"/>
          <w:szCs w:val="24"/>
          <w:rtl w:val="0"/>
        </w:rPr>
        <w:t xml:space="preserve">financial intermediary</w:t>
      </w:r>
      <w:r w:rsidDel="00000000" w:rsidR="00000000" w:rsidRPr="00000000">
        <w:rPr>
          <w:rFonts w:ascii="Times New Roman" w:cs="Times New Roman" w:eastAsia="Times New Roman" w:hAnsi="Times New Roman"/>
          <w:sz w:val="24"/>
          <w:szCs w:val="24"/>
          <w:rtl w:val="0"/>
        </w:rPr>
        <w:t xml:space="preserve">, meaning it acts as a “middle” institution that connects different parties in financial transactions, especially savers and borrowers.</w:t>
      </w:r>
      <w:hyperlink r:id="rId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When households and firms deposit money, banks can use that pool of funds to provide loans and other financial services. This is why banking is not only about storing money; it is also about allocating money across the economy through credit and investment channels.</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commercial bank is commonly described as a financial institution that </w:t>
      </w:r>
      <w:r w:rsidDel="00000000" w:rsidR="00000000" w:rsidRPr="00000000">
        <w:rPr>
          <w:rFonts w:ascii="Times New Roman" w:cs="Times New Roman" w:eastAsia="Times New Roman" w:hAnsi="Times New Roman"/>
          <w:b w:val="1"/>
          <w:bCs w:val="1"/>
          <w:sz w:val="24"/>
          <w:szCs w:val="24"/>
          <w:rtl w:val="0"/>
        </w:rPr>
        <w:t xml:space="preserve">accepts deposits</w:t>
      </w:r>
      <w:r w:rsidDel="00000000" w:rsidR="00000000" w:rsidRPr="00000000">
        <w:rPr>
          <w:rFonts w:ascii="Times New Roman" w:cs="Times New Roman" w:eastAsia="Times New Roman" w:hAnsi="Times New Roman"/>
          <w:sz w:val="24"/>
          <w:szCs w:val="24"/>
          <w:rtl w:val="0"/>
        </w:rPr>
        <w:t xml:space="preserve">, offers </w:t>
      </w:r>
      <w:r w:rsidDel="00000000" w:rsidR="00000000" w:rsidRPr="00000000">
        <w:rPr>
          <w:rFonts w:ascii="Times New Roman" w:cs="Times New Roman" w:eastAsia="Times New Roman" w:hAnsi="Times New Roman"/>
          <w:b w:val="1"/>
          <w:bCs w:val="1"/>
          <w:sz w:val="24"/>
          <w:szCs w:val="24"/>
          <w:rtl w:val="0"/>
        </w:rPr>
        <w:t xml:space="preserve">checking and savings services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makes loans</w:t>
      </w:r>
      <w:r w:rsidDel="00000000" w:rsidR="00000000" w:rsidRPr="00000000">
        <w:rPr>
          <w:rFonts w:ascii="Times New Roman" w:cs="Times New Roman" w:eastAsia="Times New Roman" w:hAnsi="Times New Roman"/>
          <w:sz w:val="24"/>
          <w:szCs w:val="24"/>
          <w:rtl w:val="0"/>
        </w:rPr>
        <w:t xml:space="preserve">.</w:t>
      </w:r>
      <w:hyperlink r:id="rId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These three activities connect to three core societal functions. First, deposit services allow people to hold money in an institutional form rather than in cash, which supports safekeeping and record-keeping. Second, banks enable people and organizations to make and receive payments efficiently. Third, banks provide credit, which supports consumption and investment by allowing spending or investment to happen before all income has been accumulated.</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what banks do more precisely, it helps to define the basic service that links individuals to the financial system: the </w:t>
      </w:r>
      <w:r w:rsidDel="00000000" w:rsidR="00000000" w:rsidRPr="00000000">
        <w:rPr>
          <w:rFonts w:ascii="Times New Roman" w:cs="Times New Roman" w:eastAsia="Times New Roman" w:hAnsi="Times New Roman"/>
          <w:b w:val="1"/>
          <w:bCs w:val="1"/>
          <w:sz w:val="24"/>
          <w:szCs w:val="24"/>
          <w:rtl w:val="0"/>
        </w:rPr>
        <w:t xml:space="preserve">deposit account</w:t>
      </w:r>
      <w:r w:rsidDel="00000000" w:rsidR="00000000" w:rsidRPr="00000000">
        <w:rPr>
          <w:rFonts w:ascii="Times New Roman" w:cs="Times New Roman" w:eastAsia="Times New Roman" w:hAnsi="Times New Roman"/>
          <w:sz w:val="24"/>
          <w:szCs w:val="24"/>
          <w:rtl w:val="0"/>
        </w:rPr>
        <w:t xml:space="preserve">. Deposit accounts include products such as </w:t>
      </w:r>
      <w:r w:rsidDel="00000000" w:rsidR="00000000" w:rsidRPr="00000000">
        <w:rPr>
          <w:rFonts w:ascii="Times New Roman" w:cs="Times New Roman" w:eastAsia="Times New Roman" w:hAnsi="Times New Roman"/>
          <w:b w:val="1"/>
          <w:bCs w:val="1"/>
          <w:sz w:val="24"/>
          <w:szCs w:val="24"/>
          <w:rtl w:val="0"/>
        </w:rPr>
        <w:t xml:space="preserve">checking accounts, savings accounts, certificates of deposit (CDs), and money market accounts</w:t>
      </w: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These products differ in how they balance liquidity (how easily money can be accessed), transactional ability (how easily money can be transferred or spent), and return (whether and how much interest is paid). For example, the FDIC explains that checking accounts are designed for frequent deposits and withdrawals and are commonly used to keep money available for paying bills and regular use.</w:t>
      </w:r>
      <w:hyperlink r:id="rId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is important conceptually because it shows that deposit products are not neutral containers: they are designed around different expected uses, and those design choices relate to how banks organize payments and manage risk.</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Banks also matter because they operate as infrastructure for </w:t>
      </w:r>
      <w:r w:rsidDel="00000000" w:rsidR="00000000" w:rsidRPr="00000000">
        <w:rPr>
          <w:rFonts w:ascii="Times New Roman" w:cs="Times New Roman" w:eastAsia="Times New Roman" w:hAnsi="Times New Roman"/>
          <w:b w:val="1"/>
          <w:bCs w:val="1"/>
          <w:sz w:val="24"/>
          <w:szCs w:val="24"/>
          <w:rtl w:val="0"/>
        </w:rPr>
        <w:t xml:space="preserve">retail payments</w:t>
      </w:r>
      <w:r w:rsidDel="00000000" w:rsidR="00000000" w:rsidRPr="00000000">
        <w:rPr>
          <w:rFonts w:ascii="Times New Roman" w:cs="Times New Roman" w:eastAsia="Times New Roman" w:hAnsi="Times New Roman"/>
          <w:sz w:val="24"/>
          <w:szCs w:val="24"/>
          <w:rtl w:val="0"/>
        </w:rPr>
        <w:t xml:space="preserve">, which are the everyday payments that move money between consumers, businesses, and public institutions. The European Central Bank notes that retail payments include everyday consumer transactions and also include salary and tax payments made by businesses.</w:t>
      </w:r>
      <w:hyperlink r:id="rId1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broader framing is useful because it shows that “payments” are not only shopping transactions; they include income flows and public finance flows that keep the economy coordinated. When a salary arrives, when a tax payment is made, or when a bill is paid, those are all retail payments within a payment ecosystem.</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payments are not just personal actions (like “sending money”). Payments rely on systems that coordinate multiple institutions. When the payer and payee use different banks or payment providers, the payment must pass through processes known as </w:t>
      </w:r>
      <w:r w:rsidDel="00000000" w:rsidR="00000000" w:rsidRPr="00000000">
        <w:rPr>
          <w:rFonts w:ascii="Times New Roman" w:cs="Times New Roman" w:eastAsia="Times New Roman" w:hAnsi="Times New Roman"/>
          <w:b w:val="1"/>
          <w:bCs w:val="1"/>
          <w:sz w:val="24"/>
          <w:szCs w:val="24"/>
          <w:rtl w:val="0"/>
        </w:rPr>
        <w:t xml:space="preserve">clearing and settlement</w:t>
      </w:r>
      <w:r w:rsidDel="00000000" w:rsidR="00000000" w:rsidRPr="00000000">
        <w:rPr>
          <w:rFonts w:ascii="Times New Roman" w:cs="Times New Roman" w:eastAsia="Times New Roman" w:hAnsi="Times New Roman"/>
          <w:sz w:val="24"/>
          <w:szCs w:val="24"/>
          <w:rtl w:val="0"/>
        </w:rPr>
        <w:t xml:space="preserve">. The European Payments Council describes </w:t>
      </w:r>
      <w:r w:rsidDel="00000000" w:rsidR="00000000" w:rsidRPr="00000000">
        <w:rPr>
          <w:rFonts w:ascii="Times New Roman" w:cs="Times New Roman" w:eastAsia="Times New Roman" w:hAnsi="Times New Roman"/>
          <w:b w:val="1"/>
          <w:bCs w:val="1"/>
          <w:sz w:val="24"/>
          <w:szCs w:val="24"/>
          <w:rtl w:val="0"/>
        </w:rPr>
        <w:t xml:space="preserve">Clearing and Settlement Mechanisms (CSMs)</w:t>
      </w:r>
      <w:r w:rsidDel="00000000" w:rsidR="00000000" w:rsidRPr="00000000">
        <w:rPr>
          <w:rFonts w:ascii="Times New Roman" w:cs="Times New Roman" w:eastAsia="Times New Roman" w:hAnsi="Times New Roman"/>
          <w:sz w:val="24"/>
          <w:szCs w:val="24"/>
          <w:rtl w:val="0"/>
        </w:rPr>
        <w:t xml:space="preserve"> as the processes underlying payment transactions exchanged between two payment service providers, and it notes that they are “invisible” to end users but indispensable when money moves between different providers.</w:t>
      </w:r>
      <w:hyperlink r:id="rId1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is why banks are often described as part of a payments network rather than isolated entities: they connect customers to wider infrastructures that allow money to move reliably across the economy.</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reason banks matter is that they create financial relationships that depend on trust. When you place money in a deposit account, the money is not simply “stored” in a physical place; it becomes a claim on the bank, supported by institutional arrangements and regulation. Because banking relies on public confidence, many systems include consumer protection mechanisms such as deposit insurance or deposit protection schemes. The FDIC, for example, frames deposit insurance as a tool to help maintain stability and public confidence in the financial system.</w:t>
      </w:r>
      <w:hyperlink r:id="rId1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Even though specific rules differ by country, the institutional logic is similar: modern banking depends on credibility, and credibility is reinforced through oversight, transparency, and protection frameworks.</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these functions show why banking is a natural continuation after budgeting. Budgeting is a decision framework: it clarifies priorities and trade-offs. Banking is the institutional and technical space where those decisions become operational: income is received, bills are paid, transfers occur, and funds are stored in specific account forms. Understanding what banks do at this “systems level” also prepares you to evaluate banking products more critically in later sections, because you can connect product features (interest, fees, access limits) to the broader functions banks perform.</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frckuyp8msq" w:id="2"/>
      <w:bookmarkEnd w:id="2"/>
      <w:r w:rsidDel="00000000" w:rsidR="00000000" w:rsidRPr="00000000">
        <w:rPr>
          <w:rFonts w:ascii="Times New Roman" w:cs="Times New Roman" w:eastAsia="Times New Roman" w:hAnsi="Times New Roman"/>
          <w:b w:val="1"/>
          <w:bCs w:val="1"/>
          <w:color w:val="000000"/>
          <w:sz w:val="26"/>
          <w:szCs w:val="26"/>
          <w:rtl w:val="0"/>
        </w:rPr>
        <w:t xml:space="preserve">3.2 Types of bank accounts </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accounts are not all designed for the same purpose. In most banking systems, deposit products can be grouped by the function they prioritise: </w:t>
      </w:r>
      <w:r w:rsidDel="00000000" w:rsidR="00000000" w:rsidRPr="00000000">
        <w:rPr>
          <w:rFonts w:ascii="Times New Roman" w:cs="Times New Roman" w:eastAsia="Times New Roman" w:hAnsi="Times New Roman"/>
          <w:b w:val="1"/>
          <w:bCs w:val="1"/>
          <w:sz w:val="24"/>
          <w:szCs w:val="24"/>
          <w:rtl w:val="0"/>
        </w:rPr>
        <w:t xml:space="preserve">transactional access</w:t>
      </w:r>
      <w:r w:rsidDel="00000000" w:rsidR="00000000" w:rsidRPr="00000000">
        <w:rPr>
          <w:rFonts w:ascii="Times New Roman" w:cs="Times New Roman" w:eastAsia="Times New Roman" w:hAnsi="Times New Roman"/>
          <w:sz w:val="24"/>
          <w:szCs w:val="24"/>
          <w:rtl w:val="0"/>
        </w:rPr>
        <w:t xml:space="preserve"> (making frequent payments and withdrawals) or </w:t>
      </w:r>
      <w:r w:rsidDel="00000000" w:rsidR="00000000" w:rsidRPr="00000000">
        <w:rPr>
          <w:rFonts w:ascii="Times New Roman" w:cs="Times New Roman" w:eastAsia="Times New Roman" w:hAnsi="Times New Roman"/>
          <w:b w:val="1"/>
          <w:bCs w:val="1"/>
          <w:sz w:val="24"/>
          <w:szCs w:val="24"/>
          <w:rtl w:val="0"/>
        </w:rPr>
        <w:t xml:space="preserve">saving and storing value</w:t>
      </w:r>
      <w:r w:rsidDel="00000000" w:rsidR="00000000" w:rsidRPr="00000000">
        <w:rPr>
          <w:rFonts w:ascii="Times New Roman" w:cs="Times New Roman" w:eastAsia="Times New Roman" w:hAnsi="Times New Roman"/>
          <w:sz w:val="24"/>
          <w:szCs w:val="24"/>
          <w:rtl w:val="0"/>
        </w:rPr>
        <w:t xml:space="preserve"> (holding money more steadily, often with interest). The FDIC summarises common deposit products as including </w:t>
      </w:r>
      <w:r w:rsidDel="00000000" w:rsidR="00000000" w:rsidRPr="00000000">
        <w:rPr>
          <w:rFonts w:ascii="Times New Roman" w:cs="Times New Roman" w:eastAsia="Times New Roman" w:hAnsi="Times New Roman"/>
          <w:b w:val="1"/>
          <w:bCs w:val="1"/>
          <w:sz w:val="24"/>
          <w:szCs w:val="24"/>
          <w:rtl w:val="0"/>
        </w:rPr>
        <w:t xml:space="preserve">checking accounts, savings accounts, certificates of deposit (CDs), and money market deposit accounts</w:t>
      </w:r>
      <w:r w:rsidDel="00000000" w:rsidR="00000000" w:rsidRPr="00000000">
        <w:rPr>
          <w:rFonts w:ascii="Times New Roman" w:cs="Times New Roman" w:eastAsia="Times New Roman" w:hAnsi="Times New Roman"/>
          <w:sz w:val="24"/>
          <w:szCs w:val="24"/>
          <w:rtl w:val="0"/>
        </w:rPr>
        <w:t xml:space="preserve">.</w:t>
      </w:r>
      <w:hyperlink r:id="rId1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Understanding these categories helps learners see banking products as structured trade-offs between liquidity, returns, and restrictions.</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checking account</w:t>
      </w:r>
      <w:r w:rsidDel="00000000" w:rsidR="00000000" w:rsidRPr="00000000">
        <w:rPr>
          <w:rFonts w:ascii="Times New Roman" w:cs="Times New Roman" w:eastAsia="Times New Roman" w:hAnsi="Times New Roman"/>
          <w:sz w:val="24"/>
          <w:szCs w:val="24"/>
          <w:rtl w:val="0"/>
        </w:rPr>
        <w:t xml:space="preserve"> (also called a current account in some countries) is typically the main transactional account. The FDIC describes a checking account as a </w:t>
      </w:r>
      <w:r w:rsidDel="00000000" w:rsidR="00000000" w:rsidRPr="00000000">
        <w:rPr>
          <w:rFonts w:ascii="Times New Roman" w:cs="Times New Roman" w:eastAsia="Times New Roman" w:hAnsi="Times New Roman"/>
          <w:i w:val="1"/>
          <w:iCs w:val="1"/>
          <w:sz w:val="24"/>
          <w:szCs w:val="24"/>
          <w:rtl w:val="0"/>
        </w:rPr>
        <w:t xml:space="preserve">transactional account</w:t>
      </w:r>
      <w:r w:rsidDel="00000000" w:rsidR="00000000" w:rsidRPr="00000000">
        <w:rPr>
          <w:rFonts w:ascii="Times New Roman" w:cs="Times New Roman" w:eastAsia="Times New Roman" w:hAnsi="Times New Roman"/>
          <w:sz w:val="24"/>
          <w:szCs w:val="24"/>
          <w:rtl w:val="0"/>
        </w:rPr>
        <w:t xml:space="preserve"> designed for frequent deposits and withdrawals, and notes that people usually use it to keep money available for paying bills and regular use.</w:t>
      </w:r>
      <w:hyperlink r:id="rId1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Investopedia similarly frames a checking account as a financial account designed for daily use and spending.</w:t>
      </w:r>
      <w:hyperlink r:id="rId1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Conceptually, the key feature of a checking account is </w:t>
      </w:r>
      <w:r w:rsidDel="00000000" w:rsidR="00000000" w:rsidRPr="00000000">
        <w:rPr>
          <w:rFonts w:ascii="Times New Roman" w:cs="Times New Roman" w:eastAsia="Times New Roman" w:hAnsi="Times New Roman"/>
          <w:b w:val="1"/>
          <w:bCs w:val="1"/>
          <w:sz w:val="24"/>
          <w:szCs w:val="24"/>
          <w:rtl w:val="0"/>
        </w:rPr>
        <w:t xml:space="preserve">high liquidity</w:t>
      </w:r>
      <w:r w:rsidDel="00000000" w:rsidR="00000000" w:rsidRPr="00000000">
        <w:rPr>
          <w:rFonts w:ascii="Times New Roman" w:cs="Times New Roman" w:eastAsia="Times New Roman" w:hAnsi="Times New Roman"/>
          <w:sz w:val="24"/>
          <w:szCs w:val="24"/>
          <w:rtl w:val="0"/>
        </w:rPr>
        <w:t xml:space="preserve"> (easy access), which supports payments but often comes with lower interest earnings compared to savings-oriented products.</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savings account</w:t>
      </w:r>
      <w:r w:rsidDel="00000000" w:rsidR="00000000" w:rsidRPr="00000000">
        <w:rPr>
          <w:rFonts w:ascii="Times New Roman" w:cs="Times New Roman" w:eastAsia="Times New Roman" w:hAnsi="Times New Roman"/>
          <w:sz w:val="24"/>
          <w:szCs w:val="24"/>
          <w:rtl w:val="0"/>
        </w:rPr>
        <w:t xml:space="preserve"> is primarily designed to hold money rather than circulate it through frequent transactions. Investopedia defines a savings account as an account at a bank or credit union designed to hold your money, and notes that savings accounts typically pay a modest interest rate.</w:t>
      </w:r>
      <w:hyperlink r:id="rId1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In the product logic of banking, savings accounts typically trade some transactional convenience for the possibility of earning interest, while still keeping funds relatively accessible for short-term needs.</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certificate of deposit (CD)</w:t>
      </w:r>
      <w:r w:rsidDel="00000000" w:rsidR="00000000" w:rsidRPr="00000000">
        <w:rPr>
          <w:rFonts w:ascii="Times New Roman" w:cs="Times New Roman" w:eastAsia="Times New Roman" w:hAnsi="Times New Roman"/>
          <w:sz w:val="24"/>
          <w:szCs w:val="24"/>
          <w:rtl w:val="0"/>
        </w:rPr>
        <w:t xml:space="preserve"> (or term deposit) represents a more explicit trade-off: lower liquidity in exchange for a more defined return structure. Investopedia defines a CD as a type of savings account that pays a fixed interest rate on your deposit for a set period of time in return for leaving the money untouched for that term length.</w:t>
      </w:r>
      <w:hyperlink r:id="rId1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From a module perspective, CDs illustrate how banks “price” commitment: when depositors accept restrictions on access, they may receive higher or more stable interest than highly liquid accounts.</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money market deposit account (MMDA)</w:t>
      </w:r>
      <w:r w:rsidDel="00000000" w:rsidR="00000000" w:rsidRPr="00000000">
        <w:rPr>
          <w:rFonts w:ascii="Times New Roman" w:cs="Times New Roman" w:eastAsia="Times New Roman" w:hAnsi="Times New Roman"/>
          <w:sz w:val="24"/>
          <w:szCs w:val="24"/>
          <w:rtl w:val="0"/>
        </w:rPr>
        <w:t xml:space="preserve"> is often described as a hybrid between savings and checking features. FDIC deposit insurance materials list money market deposit accounts among traditional deposit accounts covered by deposit insurance.</w:t>
      </w:r>
      <w:hyperlink r:id="rId1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Investopedia describes money market accounts as a hybrid of savings and checking accounts, often offering higher interest rates than regular savings accounts while providing some transaction features (though conditions and limits vary by product).</w:t>
      </w:r>
      <w:hyperlink r:id="rId1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category is useful conceptually because it shows product bundling: providers can combine features (interest + limited transaction tools) while attaching conditions like minimum balances or other terms.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these account types, learners should focus on a small set of analytical questions rather than memorising features. The first is </w:t>
      </w:r>
      <w:r w:rsidDel="00000000" w:rsidR="00000000" w:rsidRPr="00000000">
        <w:rPr>
          <w:rFonts w:ascii="Times New Roman" w:cs="Times New Roman" w:eastAsia="Times New Roman" w:hAnsi="Times New Roman"/>
          <w:b w:val="1"/>
          <w:bCs w:val="1"/>
          <w:sz w:val="24"/>
          <w:szCs w:val="24"/>
          <w:rtl w:val="0"/>
        </w:rPr>
        <w:t xml:space="preserve">liquidity</w:t>
      </w:r>
      <w:r w:rsidDel="00000000" w:rsidR="00000000" w:rsidRPr="00000000">
        <w:rPr>
          <w:rFonts w:ascii="Times New Roman" w:cs="Times New Roman" w:eastAsia="Times New Roman" w:hAnsi="Times New Roman"/>
          <w:sz w:val="24"/>
          <w:szCs w:val="24"/>
          <w:rtl w:val="0"/>
        </w:rPr>
        <w:t xml:space="preserve">: how quickly and cheaply can funds be accessed for payments? The second is </w:t>
      </w:r>
      <w:r w:rsidDel="00000000" w:rsidR="00000000" w:rsidRPr="00000000">
        <w:rPr>
          <w:rFonts w:ascii="Times New Roman" w:cs="Times New Roman" w:eastAsia="Times New Roman" w:hAnsi="Times New Roman"/>
          <w:b w:val="1"/>
          <w:bCs w:val="1"/>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does the account pay interest, and under what conditions? The third is </w:t>
      </w: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are there limits, penalties, or term commitments that shape access? This trade-off approach makes it easier to compare products across banks and across countries, even when account names differ.</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account products should be understood as part of a regulated disclosure environment. Regulation DD (Truth in Savings) in the U.S. explicitly frames deposit accounts as including savings accounts, checking accounts, money market accounts, and CDs, and requires disclosure of items like APY, interest rates, minimum-balance requirements, and fee schedules.</w:t>
      </w:r>
      <w:hyperlink r:id="rId2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Even where the exact regulation differs, the broader principle is important for financial literacy: deposit products are defined by their terms (rates, fees, access rules), and transparent disclosure is intended to support comparison and informed choice.</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911eh5dsp96" w:id="3"/>
      <w:bookmarkEnd w:id="3"/>
      <w:r w:rsidDel="00000000" w:rsidR="00000000" w:rsidRPr="00000000">
        <w:rPr>
          <w:rFonts w:ascii="Times New Roman" w:cs="Times New Roman" w:eastAsia="Times New Roman" w:hAnsi="Times New Roman"/>
          <w:b w:val="1"/>
          <w:bCs w:val="1"/>
          <w:color w:val="000000"/>
          <w:sz w:val="26"/>
          <w:szCs w:val="26"/>
          <w:rtl w:val="0"/>
        </w:rPr>
        <w:t xml:space="preserve">3.3 Interest basics </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Interest</w:t>
      </w:r>
      <w:r w:rsidDel="00000000" w:rsidR="00000000" w:rsidRPr="00000000">
        <w:rPr>
          <w:rFonts w:ascii="Times New Roman" w:cs="Times New Roman" w:eastAsia="Times New Roman" w:hAnsi="Times New Roman"/>
          <w:sz w:val="24"/>
          <w:szCs w:val="24"/>
          <w:rtl w:val="0"/>
        </w:rPr>
        <w:t xml:space="preserve"> is the cost (or reward) of using money over time. When you keep money in a savings product, the bank may pay you interest as compensation for holding your funds. When you borrow money (later chapters), you typically pay interest as the price of accessing funds now rather than later. The key point for banking literacy is that interest is not just a “bonus”; it is a formal part of how financial products are priced and compared.</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useful starting distinction is between an </w:t>
      </w:r>
      <w:r w:rsidDel="00000000" w:rsidR="00000000" w:rsidRPr="00000000">
        <w:rPr>
          <w:rFonts w:ascii="Times New Roman" w:cs="Times New Roman" w:eastAsia="Times New Roman" w:hAnsi="Times New Roman"/>
          <w:b w:val="1"/>
          <w:bCs w:val="1"/>
          <w:sz w:val="24"/>
          <w:szCs w:val="24"/>
          <w:rtl w:val="0"/>
        </w:rPr>
        <w:t xml:space="preserve">interest rate</w:t>
      </w:r>
      <w:r w:rsidDel="00000000" w:rsidR="00000000" w:rsidRPr="00000000">
        <w:rPr>
          <w:rFonts w:ascii="Times New Roman" w:cs="Times New Roman" w:eastAsia="Times New Roman" w:hAnsi="Times New Roman"/>
          <w:sz w:val="24"/>
          <w:szCs w:val="24"/>
          <w:rtl w:val="0"/>
        </w:rPr>
        <w:t xml:space="preserve"> and the amount you actually earn over a year. The quoted interest rate is a percentage applied to a balance, but how much you earn depends on </w:t>
      </w:r>
      <w:r w:rsidDel="00000000" w:rsidR="00000000" w:rsidRPr="00000000">
        <w:rPr>
          <w:rFonts w:ascii="Times New Roman" w:cs="Times New Roman" w:eastAsia="Times New Roman" w:hAnsi="Times New Roman"/>
          <w:i w:val="1"/>
          <w:iCs w:val="1"/>
          <w:sz w:val="24"/>
          <w:szCs w:val="24"/>
          <w:rtl w:val="0"/>
        </w:rPr>
        <w:t xml:space="preserve">how often interest is added to the balance</w:t>
      </w:r>
      <w:r w:rsidDel="00000000" w:rsidR="00000000" w:rsidRPr="00000000">
        <w:rPr>
          <w:rFonts w:ascii="Times New Roman" w:cs="Times New Roman" w:eastAsia="Times New Roman" w:hAnsi="Times New Roman"/>
          <w:sz w:val="24"/>
          <w:szCs w:val="24"/>
          <w:rtl w:val="0"/>
        </w:rPr>
        <w:t xml:space="preserve">. This is where </w:t>
      </w:r>
      <w:r w:rsidDel="00000000" w:rsidR="00000000" w:rsidRPr="00000000">
        <w:rPr>
          <w:rFonts w:ascii="Times New Roman" w:cs="Times New Roman" w:eastAsia="Times New Roman" w:hAnsi="Times New Roman"/>
          <w:b w:val="1"/>
          <w:bCs w:val="1"/>
          <w:sz w:val="24"/>
          <w:szCs w:val="24"/>
          <w:rtl w:val="0"/>
        </w:rPr>
        <w:t xml:space="preserve">compound interest</w:t>
      </w:r>
      <w:r w:rsidDel="00000000" w:rsidR="00000000" w:rsidRPr="00000000">
        <w:rPr>
          <w:rFonts w:ascii="Times New Roman" w:cs="Times New Roman" w:eastAsia="Times New Roman" w:hAnsi="Times New Roman"/>
          <w:sz w:val="24"/>
          <w:szCs w:val="24"/>
          <w:rtl w:val="0"/>
        </w:rPr>
        <w:t xml:space="preserve"> matters. The FDIC explains compound interest as interest earned on your principal after the first period, and once interest is added to the principal, future interest is earned on the larger amount, which helps money grow over time.</w:t>
      </w:r>
      <w:hyperlink r:id="rId2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Even without advanced math, the concept is important: compounding means interest can accelerate growth because the base becomes bigger over time.</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Because compounding frequency changes the final outcome, financial systems often use standardized measures so people can compare products. In the United States, </w:t>
      </w:r>
      <w:r w:rsidDel="00000000" w:rsidR="00000000" w:rsidRPr="00000000">
        <w:rPr>
          <w:rFonts w:ascii="Times New Roman" w:cs="Times New Roman" w:eastAsia="Times New Roman" w:hAnsi="Times New Roman"/>
          <w:b w:val="1"/>
          <w:bCs w:val="1"/>
          <w:sz w:val="24"/>
          <w:szCs w:val="24"/>
          <w:rtl w:val="0"/>
        </w:rPr>
        <w:t xml:space="preserve">annual percentage yield (APY)</w:t>
      </w:r>
      <w:r w:rsidDel="00000000" w:rsidR="00000000" w:rsidRPr="00000000">
        <w:rPr>
          <w:rFonts w:ascii="Times New Roman" w:cs="Times New Roman" w:eastAsia="Times New Roman" w:hAnsi="Times New Roman"/>
          <w:sz w:val="24"/>
          <w:szCs w:val="24"/>
          <w:rtl w:val="0"/>
        </w:rPr>
        <w:t xml:space="preserve"> is defined in Regulation DD as a percentage rate reflecting the total amount of interest paid on an account based on the interest rate and the frequency of compounding (calculated according to specific rules).</w:t>
      </w:r>
      <w:hyperlink r:id="rId2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Investopedia offers a consistent explanation: APY is the interest rate earned in one year </w:t>
      </w:r>
      <w:r w:rsidDel="00000000" w:rsidR="00000000" w:rsidRPr="00000000">
        <w:rPr>
          <w:rFonts w:ascii="Times New Roman" w:cs="Times New Roman" w:eastAsia="Times New Roman" w:hAnsi="Times New Roman"/>
          <w:b w:val="1"/>
          <w:bCs w:val="1"/>
          <w:sz w:val="24"/>
          <w:szCs w:val="24"/>
          <w:rtl w:val="0"/>
        </w:rPr>
        <w:t xml:space="preserve">including compounding interest</w:t>
      </w:r>
      <w:r w:rsidDel="00000000" w:rsidR="00000000" w:rsidRPr="00000000">
        <w:rPr>
          <w:rFonts w:ascii="Times New Roman" w:cs="Times New Roman" w:eastAsia="Times New Roman" w:hAnsi="Times New Roman"/>
          <w:sz w:val="24"/>
          <w:szCs w:val="24"/>
          <w:rtl w:val="0"/>
        </w:rPr>
        <w:t xml:space="preserve">, which is why it is used to compare savings products more fairly than just looking at a simple stated rate.</w:t>
      </w:r>
      <w:hyperlink r:id="rId2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practical takeaway is that when two accounts advertise different rates, APY is intended to make “apples-to-apples” comparison easier because it includes the effect of compounding.</w:t>
      </w:r>
      <w:hyperlink r:id="rId2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It is also useful to separate </w:t>
      </w:r>
      <w:r w:rsidDel="00000000" w:rsidR="00000000" w:rsidRPr="00000000">
        <w:rPr>
          <w:rFonts w:ascii="Times New Roman" w:cs="Times New Roman" w:eastAsia="Times New Roman" w:hAnsi="Times New Roman"/>
          <w:b w:val="1"/>
          <w:bCs w:val="1"/>
          <w:sz w:val="24"/>
          <w:szCs w:val="24"/>
          <w:rtl w:val="0"/>
        </w:rPr>
        <w:t xml:space="preserve">APY</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bCs w:val="1"/>
          <w:sz w:val="24"/>
          <w:szCs w:val="24"/>
          <w:rtl w:val="0"/>
        </w:rPr>
        <w:t xml:space="preserve">APR</w:t>
      </w:r>
      <w:r w:rsidDel="00000000" w:rsidR="00000000" w:rsidRPr="00000000">
        <w:rPr>
          <w:rFonts w:ascii="Times New Roman" w:cs="Times New Roman" w:eastAsia="Times New Roman" w:hAnsi="Times New Roman"/>
          <w:sz w:val="24"/>
          <w:szCs w:val="24"/>
          <w:rtl w:val="0"/>
        </w:rPr>
        <w:t xml:space="preserve"> (annual percentage rate). APY is typically used for </w:t>
      </w:r>
      <w:r w:rsidDel="00000000" w:rsidR="00000000" w:rsidRPr="00000000">
        <w:rPr>
          <w:rFonts w:ascii="Times New Roman" w:cs="Times New Roman" w:eastAsia="Times New Roman" w:hAnsi="Times New Roman"/>
          <w:i w:val="1"/>
          <w:iCs w:val="1"/>
          <w:sz w:val="24"/>
          <w:szCs w:val="24"/>
          <w:rtl w:val="0"/>
        </w:rPr>
        <w:t xml:space="preserve">earnings on deposits</w:t>
      </w:r>
      <w:r w:rsidDel="00000000" w:rsidR="00000000" w:rsidRPr="00000000">
        <w:rPr>
          <w:rFonts w:ascii="Times New Roman" w:cs="Times New Roman" w:eastAsia="Times New Roman" w:hAnsi="Times New Roman"/>
          <w:sz w:val="24"/>
          <w:szCs w:val="24"/>
          <w:rtl w:val="0"/>
        </w:rPr>
        <w:t xml:space="preserve"> and includes compounding, while APR is commonly used for </w:t>
      </w:r>
      <w:r w:rsidDel="00000000" w:rsidR="00000000" w:rsidRPr="00000000">
        <w:rPr>
          <w:rFonts w:ascii="Times New Roman" w:cs="Times New Roman" w:eastAsia="Times New Roman" w:hAnsi="Times New Roman"/>
          <w:i w:val="1"/>
          <w:iCs w:val="1"/>
          <w:sz w:val="24"/>
          <w:szCs w:val="24"/>
          <w:rtl w:val="0"/>
        </w:rPr>
        <w:t xml:space="preserve">borrowing costs</w:t>
      </w:r>
      <w:r w:rsidDel="00000000" w:rsidR="00000000" w:rsidRPr="00000000">
        <w:rPr>
          <w:rFonts w:ascii="Times New Roman" w:cs="Times New Roman" w:eastAsia="Times New Roman" w:hAnsi="Times New Roman"/>
          <w:sz w:val="24"/>
          <w:szCs w:val="24"/>
          <w:rtl w:val="0"/>
        </w:rPr>
        <w:t xml:space="preserve"> and is often presented without compounding in the same way. Investopedia summarises this contrast: APR measures the annual cost of borrowing (often including fees), while APY represents how much interest you’ll earn on savings, factoring in compounding.</w:t>
      </w:r>
      <w:hyperlink r:id="rId2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You do not need to master the calculation yet, but understanding the difference helps prevent a common confusion: </w:t>
      </w:r>
      <w:r w:rsidDel="00000000" w:rsidR="00000000" w:rsidRPr="00000000">
        <w:rPr>
          <w:rFonts w:ascii="Times New Roman" w:cs="Times New Roman" w:eastAsia="Times New Roman" w:hAnsi="Times New Roman"/>
          <w:i w:val="1"/>
          <w:iCs w:val="1"/>
          <w:sz w:val="24"/>
          <w:szCs w:val="24"/>
          <w:rtl w:val="0"/>
        </w:rPr>
        <w:t xml:space="preserve">the same-looking percentage can mean different things depending on whether it is an earning rate (APY) or a borrowing cost (APR).</w:t>
      </w:r>
      <w:hyperlink r:id="rId2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18">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Finally, interest should be interpreted alongside </w:t>
      </w:r>
      <w:r w:rsidDel="00000000" w:rsidR="00000000" w:rsidRPr="00000000">
        <w:rPr>
          <w:rFonts w:ascii="Times New Roman" w:cs="Times New Roman" w:eastAsia="Times New Roman" w:hAnsi="Times New Roman"/>
          <w:b w:val="1"/>
          <w:bCs w:val="1"/>
          <w:sz w:val="24"/>
          <w:szCs w:val="24"/>
          <w:rtl w:val="0"/>
        </w:rPr>
        <w:t xml:space="preserve">inflation</w:t>
      </w:r>
      <w:r w:rsidDel="00000000" w:rsidR="00000000" w:rsidRPr="00000000">
        <w:rPr>
          <w:rFonts w:ascii="Times New Roman" w:cs="Times New Roman" w:eastAsia="Times New Roman" w:hAnsi="Times New Roman"/>
          <w:sz w:val="24"/>
          <w:szCs w:val="24"/>
          <w:rtl w:val="0"/>
        </w:rPr>
        <w:t xml:space="preserve">, because inflation affects what your money can buy. The European Central Bank explains that inflation is a broad increase in prices and that it means you can buy less for €1 today than you could before, so inflation reduces the value of money over time.</w:t>
      </w:r>
      <w:hyperlink r:id="rId2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matters because an account can pay interest and still lose purchasing power if inflation is higher than the interest earned. In later modules, this becomes part of the discussion about why people save in different products for different goals (short-term safety versus long-term growth). For now, the key idea is: interest describes nominal growth, while inflation affects real purchasing power.</w:t>
      </w:r>
      <w:hyperlink r:id="rId2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n3gsem3c784" w:id="4"/>
      <w:bookmarkEnd w:id="4"/>
      <w:r w:rsidDel="00000000" w:rsidR="00000000" w:rsidRPr="00000000">
        <w:rPr>
          <w:rFonts w:ascii="Times New Roman" w:cs="Times New Roman" w:eastAsia="Times New Roman" w:hAnsi="Times New Roman"/>
          <w:b w:val="1"/>
          <w:bCs w:val="1"/>
          <w:color w:val="000000"/>
          <w:sz w:val="26"/>
          <w:szCs w:val="26"/>
          <w:rtl w:val="0"/>
        </w:rPr>
        <w:t xml:space="preserve">3.4 Fees and charges </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accounts are often described as “free,” but in practice most accounts come with a </w:t>
      </w:r>
      <w:r w:rsidDel="00000000" w:rsidR="00000000" w:rsidRPr="00000000">
        <w:rPr>
          <w:rFonts w:ascii="Times New Roman" w:cs="Times New Roman" w:eastAsia="Times New Roman" w:hAnsi="Times New Roman"/>
          <w:b w:val="1"/>
          <w:bCs w:val="1"/>
          <w:sz w:val="24"/>
          <w:szCs w:val="24"/>
          <w:rtl w:val="0"/>
        </w:rPr>
        <w:t xml:space="preserve">pricing structure</w:t>
      </w:r>
      <w:r w:rsidDel="00000000" w:rsidR="00000000" w:rsidRPr="00000000">
        <w:rPr>
          <w:rFonts w:ascii="Times New Roman" w:cs="Times New Roman" w:eastAsia="Times New Roman" w:hAnsi="Times New Roman"/>
          <w:sz w:val="24"/>
          <w:szCs w:val="24"/>
          <w:rtl w:val="0"/>
        </w:rPr>
        <w:t xml:space="preserve"> made up of fees and conditions. These charges are not random. They are how banks price access to services such as day-to-day transactions, cash withdrawals, account maintenance, and short-term liquidity. Understanding fees is therefore part of understanding what a bank account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an account is a bundle of services, and the price of that bundle may be paid through explicit fees, minimum-balance requirements, or (sometimes) lower interest paid on deposits.</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term here is a </w:t>
      </w:r>
      <w:r w:rsidDel="00000000" w:rsidR="00000000" w:rsidRPr="00000000">
        <w:rPr>
          <w:rFonts w:ascii="Times New Roman" w:cs="Times New Roman" w:eastAsia="Times New Roman" w:hAnsi="Times New Roman"/>
          <w:b w:val="1"/>
          <w:bCs w:val="1"/>
          <w:sz w:val="24"/>
          <w:szCs w:val="24"/>
          <w:rtl w:val="0"/>
        </w:rPr>
        <w:t xml:space="preserve">fee schedule</w:t>
      </w:r>
      <w:r w:rsidDel="00000000" w:rsidR="00000000" w:rsidRPr="00000000">
        <w:rPr>
          <w:rFonts w:ascii="Times New Roman" w:cs="Times New Roman" w:eastAsia="Times New Roman" w:hAnsi="Times New Roman"/>
          <w:sz w:val="24"/>
          <w:szCs w:val="24"/>
          <w:rtl w:val="0"/>
        </w:rPr>
        <w:t xml:space="preserve">. A fee schedule is the bank’s official list of charges attached to an account (for example, monthly account fees, out-of-network ATM fees, overdraft-related fees, and other service charges). In many systems, consumer protection policy emphasizes the role of disclosure and transparency so that consumers can understand and compare product costs. The OECD frames financial consumer protection as promoting fair and responsible treatment of consumers in the purchase and use of financial products and services, which includes attention to how products are offered and understood.</w:t>
      </w:r>
      <w:hyperlink r:id="rId2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In the EU, the Payment Accounts Directive is designed to standardise key terminology and disclosure templates to make fees more comparable across providers, which supports more informed account choice.</w:t>
      </w:r>
      <w:hyperlink r:id="rId3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discussed fee categories in retail banking is </w:t>
      </w:r>
      <w:r w:rsidDel="00000000" w:rsidR="00000000" w:rsidRPr="00000000">
        <w:rPr>
          <w:rFonts w:ascii="Times New Roman" w:cs="Times New Roman" w:eastAsia="Times New Roman" w:hAnsi="Times New Roman"/>
          <w:b w:val="1"/>
          <w:bCs w:val="1"/>
          <w:sz w:val="24"/>
          <w:szCs w:val="24"/>
          <w:rtl w:val="0"/>
        </w:rPr>
        <w:t xml:space="preserve">overdraft fees</w:t>
      </w:r>
      <w:r w:rsidDel="00000000" w:rsidR="00000000" w:rsidRPr="00000000">
        <w:rPr>
          <w:rFonts w:ascii="Times New Roman" w:cs="Times New Roman" w:eastAsia="Times New Roman" w:hAnsi="Times New Roman"/>
          <w:sz w:val="24"/>
          <w:szCs w:val="24"/>
          <w:rtl w:val="0"/>
        </w:rPr>
        <w:t xml:space="preserve">. An </w:t>
      </w:r>
      <w:r w:rsidDel="00000000" w:rsidR="00000000" w:rsidRPr="00000000">
        <w:rPr>
          <w:rFonts w:ascii="Times New Roman" w:cs="Times New Roman" w:eastAsia="Times New Roman" w:hAnsi="Times New Roman"/>
          <w:b w:val="1"/>
          <w:bCs w:val="1"/>
          <w:sz w:val="24"/>
          <w:szCs w:val="24"/>
          <w:rtl w:val="0"/>
        </w:rPr>
        <w:t xml:space="preserve">overdraft</w:t>
      </w:r>
      <w:r w:rsidDel="00000000" w:rsidR="00000000" w:rsidRPr="00000000">
        <w:rPr>
          <w:rFonts w:ascii="Times New Roman" w:cs="Times New Roman" w:eastAsia="Times New Roman" w:hAnsi="Times New Roman"/>
          <w:sz w:val="24"/>
          <w:szCs w:val="24"/>
          <w:rtl w:val="0"/>
        </w:rPr>
        <w:t xml:space="preserve"> occurs when a transaction is paid even though there are insufficient funds in the account, creating a negative balance. The FDIC explains that overdraft fees can be substantial (often cited around a per-transaction amount) and can add up quickly, sometimes with additional “continuous” or daily overdraft fees if the account stays overdrawn.</w:t>
      </w:r>
      <w:hyperlink r:id="rId3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is important because overdraft fees are not merely “extra costs”; they are a pricing mechanism for short-term liquidity and risk. When a bank pays an overdraft, it is temporarily extending credit, and fees are part of how that service is priced and managed.</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Fees in this area are also shaped by regulation. In the U.S., Regulation E includes specific rules for overdraft services on ATM and one-time debit card transactions. Section 1005.17 sets an “opt-in” structure, meaning a bank generally cannot assess overdraft fees for paying these transactions unless it provides required disclosures and obtains the consumer’s affirmative consent.</w:t>
      </w:r>
      <w:hyperlink r:id="rId3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details vary by country, but the broader learning point is consistent: fee practices are often regulated because the costs can be hard to anticipate and because consumers may not realize which account settings trigger which fees.</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overdrafts, banks may charge fees that reflect the cost of providing access and operating the account. The FDIC highlights that accounts can include maintenance fees, ATM fees, and other charges, and that these costs depend on the account’s conditions (such as minimum balances or other requirements).</w:t>
      </w:r>
      <w:hyperlink r:id="rId3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underlying idea is that accounts differ not only in </w:t>
      </w:r>
      <w:r w:rsidDel="00000000" w:rsidR="00000000" w:rsidRPr="00000000">
        <w:rPr>
          <w:rFonts w:ascii="Times New Roman" w:cs="Times New Roman" w:eastAsia="Times New Roman" w:hAnsi="Times New Roman"/>
          <w:i w:val="1"/>
          <w:iCs w:val="1"/>
          <w:sz w:val="24"/>
          <w:szCs w:val="24"/>
          <w:rtl w:val="0"/>
        </w:rPr>
        <w:t xml:space="preserve">interest</w:t>
      </w:r>
      <w:r w:rsidDel="00000000" w:rsidR="00000000" w:rsidRPr="00000000">
        <w:rPr>
          <w:rFonts w:ascii="Times New Roman" w:cs="Times New Roman" w:eastAsia="Times New Roman" w:hAnsi="Times New Roman"/>
          <w:sz w:val="24"/>
          <w:szCs w:val="24"/>
          <w:rtl w:val="0"/>
        </w:rPr>
        <w:t xml:space="preserve"> but also in </w:t>
      </w:r>
      <w:r w:rsidDel="00000000" w:rsidR="00000000" w:rsidRPr="00000000">
        <w:rPr>
          <w:rFonts w:ascii="Times New Roman" w:cs="Times New Roman" w:eastAsia="Times New Roman" w:hAnsi="Times New Roman"/>
          <w:i w:val="1"/>
          <w:iCs w:val="1"/>
          <w:sz w:val="24"/>
          <w:szCs w:val="24"/>
          <w:rtl w:val="0"/>
        </w:rPr>
        <w:t xml:space="preserve">conditions</w:t>
      </w:r>
      <w:r w:rsidDel="00000000" w:rsidR="00000000" w:rsidRPr="00000000">
        <w:rPr>
          <w:rFonts w:ascii="Times New Roman" w:cs="Times New Roman" w:eastAsia="Times New Roman" w:hAnsi="Times New Roman"/>
          <w:sz w:val="24"/>
          <w:szCs w:val="24"/>
          <w:rtl w:val="0"/>
        </w:rPr>
        <w:t xml:space="preserve">: for example, one account might waive a monthly fee if a minimum balance is maintained, while another might charge no monthly fee but offer fewer included services. This is why fee literacy is analytical rather than personal: the same consumer behavior can have different cost outcomes depending on the product design.</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module, it also helps to introduce the concept of </w:t>
      </w:r>
      <w:r w:rsidDel="00000000" w:rsidR="00000000" w:rsidRPr="00000000">
        <w:rPr>
          <w:rFonts w:ascii="Times New Roman" w:cs="Times New Roman" w:eastAsia="Times New Roman" w:hAnsi="Times New Roman"/>
          <w:b w:val="1"/>
          <w:bCs w:val="1"/>
          <w:sz w:val="24"/>
          <w:szCs w:val="24"/>
          <w:rtl w:val="0"/>
        </w:rPr>
        <w:t xml:space="preserve">comparability</w:t>
      </w:r>
      <w:r w:rsidDel="00000000" w:rsidR="00000000" w:rsidRPr="00000000">
        <w:rPr>
          <w:rFonts w:ascii="Times New Roman" w:cs="Times New Roman" w:eastAsia="Times New Roman" w:hAnsi="Times New Roman"/>
          <w:sz w:val="24"/>
          <w:szCs w:val="24"/>
          <w:rtl w:val="0"/>
        </w:rPr>
        <w:t xml:space="preserve">. Consumers make better choices when products can be compared on a common basis. This is exactly what standardised terminology and disclosure documents aim to improve in the EU: the EBA describes technical standards under the Payment Accounts Directive as enhancing the comparability of fees through standardised terminology and disclosure documents, allowing consumers to compare offers from different providers.</w:t>
      </w:r>
      <w:hyperlink r:id="rId3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In practical terms, the ability to compare is a form of consumer protection: it reduces the chance that complex fee structures hide the true cost of an account.</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uflff7bu8ct" w:id="5"/>
      <w:bookmarkEnd w:id="5"/>
      <w:r w:rsidDel="00000000" w:rsidR="00000000" w:rsidRPr="00000000">
        <w:rPr>
          <w:rFonts w:ascii="Times New Roman" w:cs="Times New Roman" w:eastAsia="Times New Roman" w:hAnsi="Times New Roman"/>
          <w:b w:val="1"/>
          <w:bCs w:val="1"/>
          <w:color w:val="000000"/>
          <w:sz w:val="26"/>
          <w:szCs w:val="26"/>
          <w:rtl w:val="0"/>
        </w:rPr>
        <w:t xml:space="preserve">3.5 Cards and payments </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banking is inseparable from the </w:t>
      </w:r>
      <w:r w:rsidDel="00000000" w:rsidR="00000000" w:rsidRPr="00000000">
        <w:rPr>
          <w:rFonts w:ascii="Times New Roman" w:cs="Times New Roman" w:eastAsia="Times New Roman" w:hAnsi="Times New Roman"/>
          <w:b w:val="1"/>
          <w:bCs w:val="1"/>
          <w:sz w:val="24"/>
          <w:szCs w:val="24"/>
          <w:rtl w:val="0"/>
        </w:rPr>
        <w:t xml:space="preserve">payment system</w:t>
      </w:r>
      <w:r w:rsidDel="00000000" w:rsidR="00000000" w:rsidRPr="00000000">
        <w:rPr>
          <w:rFonts w:ascii="Times New Roman" w:cs="Times New Roman" w:eastAsia="Times New Roman" w:hAnsi="Times New Roman"/>
          <w:sz w:val="24"/>
          <w:szCs w:val="24"/>
          <w:rtl w:val="0"/>
        </w:rPr>
        <w:t xml:space="preserve">, meaning the arrangements that allow money to move from a payer to a payee. The World Bank describes payment and settlement systems as mechanisms established to facilitate the </w:t>
      </w:r>
      <w:r w:rsidDel="00000000" w:rsidR="00000000" w:rsidRPr="00000000">
        <w:rPr>
          <w:rFonts w:ascii="Times New Roman" w:cs="Times New Roman" w:eastAsia="Times New Roman" w:hAnsi="Times New Roman"/>
          <w:b w:val="1"/>
          <w:bCs w:val="1"/>
          <w:sz w:val="24"/>
          <w:szCs w:val="24"/>
          <w:rtl w:val="0"/>
        </w:rPr>
        <w:t xml:space="preserve">clearing and settlement</w:t>
      </w:r>
      <w:r w:rsidDel="00000000" w:rsidR="00000000" w:rsidRPr="00000000">
        <w:rPr>
          <w:rFonts w:ascii="Times New Roman" w:cs="Times New Roman" w:eastAsia="Times New Roman" w:hAnsi="Times New Roman"/>
          <w:sz w:val="24"/>
          <w:szCs w:val="24"/>
          <w:rtl w:val="0"/>
        </w:rPr>
        <w:t xml:space="preserve"> of monetary and other financial transactions.</w:t>
      </w:r>
      <w:hyperlink r:id="rId3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matters because when we “pay,” we are not only making a personal decision; we are using a shared infrastructure that links households, firms, banks, and sometimes central banks.</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useful way to organise this topic is to distinguish between </w:t>
      </w:r>
      <w:r w:rsidDel="00000000" w:rsidR="00000000" w:rsidRPr="00000000">
        <w:rPr>
          <w:rFonts w:ascii="Times New Roman" w:cs="Times New Roman" w:eastAsia="Times New Roman" w:hAnsi="Times New Roman"/>
          <w:b w:val="1"/>
          <w:bCs w:val="1"/>
          <w:sz w:val="24"/>
          <w:szCs w:val="24"/>
          <w:rtl w:val="0"/>
        </w:rPr>
        <w:t xml:space="preserve">payment instruments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payment systems</w:t>
      </w:r>
      <w:r w:rsidDel="00000000" w:rsidR="00000000" w:rsidRPr="00000000">
        <w:rPr>
          <w:rFonts w:ascii="Times New Roman" w:cs="Times New Roman" w:eastAsia="Times New Roman" w:hAnsi="Times New Roman"/>
          <w:sz w:val="24"/>
          <w:szCs w:val="24"/>
          <w:rtl w:val="0"/>
        </w:rPr>
        <w:t xml:space="preserve">. Payment instruments are the tools people use to initiate payments. In the euro area, the European Central Bank notes that the most common means of payment are </w:t>
      </w:r>
      <w:r w:rsidDel="00000000" w:rsidR="00000000" w:rsidRPr="00000000">
        <w:rPr>
          <w:rFonts w:ascii="Times New Roman" w:cs="Times New Roman" w:eastAsia="Times New Roman" w:hAnsi="Times New Roman"/>
          <w:b w:val="1"/>
          <w:bCs w:val="1"/>
          <w:sz w:val="24"/>
          <w:szCs w:val="24"/>
          <w:rtl w:val="0"/>
        </w:rPr>
        <w:t xml:space="preserve">payment cards, credit transfers, direct debits and cash</w:t>
      </w:r>
      <w:r w:rsidDel="00000000" w:rsidR="00000000" w:rsidRPr="00000000">
        <w:rPr>
          <w:rFonts w:ascii="Times New Roman" w:cs="Times New Roman" w:eastAsia="Times New Roman" w:hAnsi="Times New Roman"/>
          <w:sz w:val="24"/>
          <w:szCs w:val="24"/>
          <w:rtl w:val="0"/>
        </w:rPr>
        <w:t xml:space="preserve">.</w:t>
      </w:r>
      <w:hyperlink r:id="rId3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Payment systems are the “back-end” arrangements that process those instruments when the payer and payee are connected to different institutions.</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particularly important account-to-account instruments are </w:t>
      </w:r>
      <w:r w:rsidDel="00000000" w:rsidR="00000000" w:rsidRPr="00000000">
        <w:rPr>
          <w:rFonts w:ascii="Times New Roman" w:cs="Times New Roman" w:eastAsia="Times New Roman" w:hAnsi="Times New Roman"/>
          <w:b w:val="1"/>
          <w:bCs w:val="1"/>
          <w:sz w:val="24"/>
          <w:szCs w:val="24"/>
          <w:rtl w:val="0"/>
        </w:rPr>
        <w:t xml:space="preserve">credit transfers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direct debits</w:t>
      </w:r>
      <w:r w:rsidDel="00000000" w:rsidR="00000000" w:rsidRPr="00000000">
        <w:rPr>
          <w:rFonts w:ascii="Times New Roman" w:cs="Times New Roman" w:eastAsia="Times New Roman" w:hAnsi="Times New Roman"/>
          <w:sz w:val="24"/>
          <w:szCs w:val="24"/>
          <w:rtl w:val="0"/>
        </w:rPr>
        <w:t xml:space="preserve">, which differ in who initiates the transaction. A </w:t>
      </w:r>
      <w:r w:rsidDel="00000000" w:rsidR="00000000" w:rsidRPr="00000000">
        <w:rPr>
          <w:rFonts w:ascii="Times New Roman" w:cs="Times New Roman" w:eastAsia="Times New Roman" w:hAnsi="Times New Roman"/>
          <w:b w:val="1"/>
          <w:bCs w:val="1"/>
          <w:sz w:val="24"/>
          <w:szCs w:val="24"/>
          <w:rtl w:val="0"/>
        </w:rPr>
        <w:t xml:space="preserve">credit transfer</w:t>
      </w:r>
      <w:r w:rsidDel="00000000" w:rsidR="00000000" w:rsidRPr="00000000">
        <w:rPr>
          <w:rFonts w:ascii="Times New Roman" w:cs="Times New Roman" w:eastAsia="Times New Roman" w:hAnsi="Times New Roman"/>
          <w:sz w:val="24"/>
          <w:szCs w:val="24"/>
          <w:rtl w:val="0"/>
        </w:rPr>
        <w:t xml:space="preserve"> is generally “push-based”: the payer instructs their payment service provider to send funds to the payee. A </w:t>
      </w:r>
      <w:r w:rsidDel="00000000" w:rsidR="00000000" w:rsidRPr="00000000">
        <w:rPr>
          <w:rFonts w:ascii="Times New Roman" w:cs="Times New Roman" w:eastAsia="Times New Roman" w:hAnsi="Times New Roman"/>
          <w:b w:val="1"/>
          <w:bCs w:val="1"/>
          <w:sz w:val="24"/>
          <w:szCs w:val="24"/>
          <w:rtl w:val="0"/>
        </w:rPr>
        <w:t xml:space="preserve">direct debit</w:t>
      </w:r>
      <w:r w:rsidDel="00000000" w:rsidR="00000000" w:rsidRPr="00000000">
        <w:rPr>
          <w:rFonts w:ascii="Times New Roman" w:cs="Times New Roman" w:eastAsia="Times New Roman" w:hAnsi="Times New Roman"/>
          <w:sz w:val="24"/>
          <w:szCs w:val="24"/>
          <w:rtl w:val="0"/>
        </w:rPr>
        <w:t xml:space="preserve"> is typically “pull-based”: the payee initiates the payment, but only on the basis of the payer’s prior authorisation (often called a mandate). The Bundesbank explains that direct debits are initiated by the payee and are based on the payer’s consent (mandate) given to the payee or involved payment service providers.</w:t>
      </w:r>
      <w:hyperlink r:id="rId3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distinction is important because it helps explain why payment risks and dispute rules may differ across instruments: the legal and operational design is not the same.</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payments move between different banks (or different payment service providers), the transaction requires processes that are usually invisible to end users. This is where </w:t>
      </w:r>
      <w:r w:rsidDel="00000000" w:rsidR="00000000" w:rsidRPr="00000000">
        <w:rPr>
          <w:rFonts w:ascii="Times New Roman" w:cs="Times New Roman" w:eastAsia="Times New Roman" w:hAnsi="Times New Roman"/>
          <w:b w:val="1"/>
          <w:bCs w:val="1"/>
          <w:sz w:val="24"/>
          <w:szCs w:val="24"/>
          <w:rtl w:val="0"/>
        </w:rPr>
        <w:t xml:space="preserve">clearing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settlement</w:t>
      </w:r>
      <w:r w:rsidDel="00000000" w:rsidR="00000000" w:rsidRPr="00000000">
        <w:rPr>
          <w:rFonts w:ascii="Times New Roman" w:cs="Times New Roman" w:eastAsia="Times New Roman" w:hAnsi="Times New Roman"/>
          <w:sz w:val="24"/>
          <w:szCs w:val="24"/>
          <w:rtl w:val="0"/>
        </w:rPr>
        <w:t xml:space="preserve"> come in. The European Payments Council describes </w:t>
      </w:r>
      <w:r w:rsidDel="00000000" w:rsidR="00000000" w:rsidRPr="00000000">
        <w:rPr>
          <w:rFonts w:ascii="Times New Roman" w:cs="Times New Roman" w:eastAsia="Times New Roman" w:hAnsi="Times New Roman"/>
          <w:b w:val="1"/>
          <w:bCs w:val="1"/>
          <w:sz w:val="24"/>
          <w:szCs w:val="24"/>
          <w:rtl w:val="0"/>
        </w:rPr>
        <w:t xml:space="preserve">Clearing and Settlement Mechanisms (CSMs)</w:t>
      </w:r>
      <w:r w:rsidDel="00000000" w:rsidR="00000000" w:rsidRPr="00000000">
        <w:rPr>
          <w:rFonts w:ascii="Times New Roman" w:cs="Times New Roman" w:eastAsia="Times New Roman" w:hAnsi="Times New Roman"/>
          <w:sz w:val="24"/>
          <w:szCs w:val="24"/>
          <w:rtl w:val="0"/>
        </w:rPr>
        <w:t xml:space="preserve"> as the processes underlying payment transactions exchanged between two payment service providers, and emphasises that these processes are indispensable when two different providers are involved.</w:t>
      </w:r>
      <w:hyperlink r:id="rId3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In simple terms, clearing is the stage where payment instructions are exchanged, validated, and organised between institutions, while settlement is the stage where funds are actually transferred between institutions to complete the payment. Because these processes vary across systems, some payments are processed in batches (at intervals) while others can be processed faster or close to real time, depending on the infrastructure.</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a batch-based retail payment arrangement is the </w:t>
      </w:r>
      <w:r w:rsidDel="00000000" w:rsidR="00000000" w:rsidRPr="00000000">
        <w:rPr>
          <w:rFonts w:ascii="Times New Roman" w:cs="Times New Roman" w:eastAsia="Times New Roman" w:hAnsi="Times New Roman"/>
          <w:b w:val="1"/>
          <w:bCs w:val="1"/>
          <w:sz w:val="24"/>
          <w:szCs w:val="24"/>
          <w:rtl w:val="0"/>
        </w:rPr>
        <w:t xml:space="preserve">ACH system</w:t>
      </w:r>
      <w:r w:rsidDel="00000000" w:rsidR="00000000" w:rsidRPr="00000000">
        <w:rPr>
          <w:rFonts w:ascii="Times New Roman" w:cs="Times New Roman" w:eastAsia="Times New Roman" w:hAnsi="Times New Roman"/>
          <w:sz w:val="24"/>
          <w:szCs w:val="24"/>
          <w:rtl w:val="0"/>
        </w:rPr>
        <w:t xml:space="preserve"> in the United States, which the Federal Reserve describes as a network through which depository institutions send each other batches of electronic credit and debit transfers (such as payroll direct deposits and utility bill direct debits).</w:t>
      </w:r>
      <w:hyperlink r:id="rId3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ACH example is not about copying the U.S. system, but about illustrating a general concept: payment instruments (credit transfers and direct debits) rely on an underlying system that determines how instructions are processed and when settlement occurs.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Card payments</w:t>
      </w:r>
      <w:r w:rsidDel="00000000" w:rsidR="00000000" w:rsidRPr="00000000">
        <w:rPr>
          <w:rFonts w:ascii="Times New Roman" w:cs="Times New Roman" w:eastAsia="Times New Roman" w:hAnsi="Times New Roman"/>
          <w:sz w:val="24"/>
          <w:szCs w:val="24"/>
          <w:rtl w:val="0"/>
        </w:rPr>
        <w:t xml:space="preserve"> form another major category of retail payments, but they operate through a different institutional structure than account-to-account transfers. At the centre of card payments are roles such as the </w:t>
      </w:r>
      <w:r w:rsidDel="00000000" w:rsidR="00000000" w:rsidRPr="00000000">
        <w:rPr>
          <w:rFonts w:ascii="Times New Roman" w:cs="Times New Roman" w:eastAsia="Times New Roman" w:hAnsi="Times New Roman"/>
          <w:b w:val="1"/>
          <w:bCs w:val="1"/>
          <w:sz w:val="24"/>
          <w:szCs w:val="24"/>
          <w:rtl w:val="0"/>
        </w:rPr>
        <w:t xml:space="preserve">card issuer</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acquirer</w:t>
      </w:r>
      <w:r w:rsidDel="00000000" w:rsidR="00000000" w:rsidRPr="00000000">
        <w:rPr>
          <w:rFonts w:ascii="Times New Roman" w:cs="Times New Roman" w:eastAsia="Times New Roman" w:hAnsi="Times New Roman"/>
          <w:sz w:val="24"/>
          <w:szCs w:val="24"/>
          <w:rtl w:val="0"/>
        </w:rPr>
        <w:t xml:space="preserve">. The ECB’s payments glossary defines a </w:t>
      </w:r>
      <w:r w:rsidDel="00000000" w:rsidR="00000000" w:rsidRPr="00000000">
        <w:rPr>
          <w:rFonts w:ascii="Times New Roman" w:cs="Times New Roman" w:eastAsia="Times New Roman" w:hAnsi="Times New Roman"/>
          <w:b w:val="1"/>
          <w:bCs w:val="1"/>
          <w:sz w:val="24"/>
          <w:szCs w:val="24"/>
          <w:rtl w:val="0"/>
        </w:rPr>
        <w:t xml:space="preserve">card issuer</w:t>
      </w:r>
      <w:r w:rsidDel="00000000" w:rsidR="00000000" w:rsidRPr="00000000">
        <w:rPr>
          <w:rFonts w:ascii="Times New Roman" w:cs="Times New Roman" w:eastAsia="Times New Roman" w:hAnsi="Times New Roman"/>
          <w:sz w:val="24"/>
          <w:szCs w:val="24"/>
          <w:rtl w:val="0"/>
        </w:rPr>
        <w:t xml:space="preserve"> as the financial institution that makes payment cards available to cardholders, authorises transactions at point-of-sale terminals or ATMs, and guarantees payment to the acquirer when transactions follow the scheme’s rules.</w:t>
      </w:r>
      <w:hyperlink r:id="rId4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Card payments therefore involve coordination between multiple parties (issuer, acquirer, and the relevant scheme/network) and their associated processing arrangements. This “multi-sided” structure is why card systems are often discussed in terms of networks and interoperability rather than simple two-account transfers.</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section links back to the budgeting-to-banking transition: budgeting is about allocating limited resources, whereas payment systems are about how those resources are </w:t>
      </w:r>
      <w:r w:rsidDel="00000000" w:rsidR="00000000" w:rsidRPr="00000000">
        <w:rPr>
          <w:rFonts w:ascii="Times New Roman" w:cs="Times New Roman" w:eastAsia="Times New Roman" w:hAnsi="Times New Roman"/>
          <w:b w:val="1"/>
          <w:bCs w:val="1"/>
          <w:sz w:val="24"/>
          <w:szCs w:val="24"/>
          <w:rtl w:val="0"/>
        </w:rPr>
        <w:t xml:space="preserve">mobilised</w:t>
      </w:r>
      <w:r w:rsidDel="00000000" w:rsidR="00000000" w:rsidRPr="00000000">
        <w:rPr>
          <w:rFonts w:ascii="Times New Roman" w:cs="Times New Roman" w:eastAsia="Times New Roman" w:hAnsi="Times New Roman"/>
          <w:sz w:val="24"/>
          <w:szCs w:val="24"/>
          <w:rtl w:val="0"/>
        </w:rPr>
        <w:t xml:space="preserve"> and transferred. Understanding the basic differences between instruments (cards, credit transfers, direct debits) and system processes (clearing and settlement via inter-provider mechanisms) prepares readers to evaluate banking services more critically, especially when comparing costs, speed, access, and risk across payment options</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flwjxhhhdaz" w:id="6"/>
      <w:bookmarkEnd w:id="6"/>
      <w:r w:rsidDel="00000000" w:rsidR="00000000" w:rsidRPr="00000000">
        <w:rPr>
          <w:rFonts w:ascii="Times New Roman" w:cs="Times New Roman" w:eastAsia="Times New Roman" w:hAnsi="Times New Roman"/>
          <w:b w:val="1"/>
          <w:bCs w:val="1"/>
          <w:color w:val="000000"/>
          <w:sz w:val="26"/>
          <w:szCs w:val="26"/>
          <w:rtl w:val="0"/>
        </w:rPr>
        <w:t xml:space="preserve">3.6 Money creation </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To understand banking beyond “accounts and cards,” it helps to understand what money is in a modern economy and how it is created. Most people think money is mainly cash (notes and coins), but in practice most money used for everyday transactions is </w:t>
      </w:r>
      <w:r w:rsidDel="00000000" w:rsidR="00000000" w:rsidRPr="00000000">
        <w:rPr>
          <w:rFonts w:ascii="Times New Roman" w:cs="Times New Roman" w:eastAsia="Times New Roman" w:hAnsi="Times New Roman"/>
          <w:b w:val="1"/>
          <w:bCs w:val="1"/>
          <w:sz w:val="24"/>
          <w:szCs w:val="24"/>
          <w:rtl w:val="0"/>
        </w:rPr>
        <w:t xml:space="preserve">commercial bank money</w:t>
      </w:r>
      <w:r w:rsidDel="00000000" w:rsidR="00000000" w:rsidRPr="00000000">
        <w:rPr>
          <w:rFonts w:ascii="Times New Roman" w:cs="Times New Roman" w:eastAsia="Times New Roman" w:hAnsi="Times New Roman"/>
          <w:sz w:val="24"/>
          <w:szCs w:val="24"/>
          <w:rtl w:val="0"/>
        </w:rPr>
        <w:t xml:space="preserve">, meaning balances recorded in bank accounts. The European Central Bank explains that commercial bank money makes up most of the money people actually use, and that it is created when banks expand their balance sheets, for example when a commercial bank grants a loan.</w:t>
      </w:r>
      <w:hyperlink r:id="rId4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point is that in modern banking, </w:t>
      </w:r>
      <w:r w:rsidDel="00000000" w:rsidR="00000000" w:rsidRPr="00000000">
        <w:rPr>
          <w:rFonts w:ascii="Times New Roman" w:cs="Times New Roman" w:eastAsia="Times New Roman" w:hAnsi="Times New Roman"/>
          <w:b w:val="1"/>
          <w:bCs w:val="1"/>
          <w:sz w:val="24"/>
          <w:szCs w:val="24"/>
          <w:rtl w:val="0"/>
        </w:rPr>
        <w:t xml:space="preserve">loans create deposits</w:t>
      </w:r>
      <w:r w:rsidDel="00000000" w:rsidR="00000000" w:rsidRPr="00000000">
        <w:rPr>
          <w:rFonts w:ascii="Times New Roman" w:cs="Times New Roman" w:eastAsia="Times New Roman" w:hAnsi="Times New Roman"/>
          <w:sz w:val="24"/>
          <w:szCs w:val="24"/>
          <w:rtl w:val="0"/>
        </w:rPr>
        <w:t xml:space="preserve">. The Bank of England’s well-known explanation states that the majority of money in the modern economy is created by commercial banks making loans, and it explicitly challenges the misconception that banks simply lend out deposits that savers have already placed with them.</w:t>
      </w:r>
      <w:hyperlink r:id="rId4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Mechanically, when a bank approves a loan, it records the loan as an asset on its balance sheet, and at the same time it credits the borrower’s deposit account with a matching deposit (a liability for the bank). This new deposit can then be spent through the payment system, meaning new purchasing power appears in the economy as a result of the lending decision.</w:t>
      </w:r>
      <w:hyperlink r:id="rId4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means money creation is reversible. The ECB notes that when the borrower repays the loan, the money created “disappears,” because repayment reduces the outstanding loan and reduces the deposit balance involved in the process.</w:t>
      </w:r>
      <w:hyperlink r:id="rId4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is important conceptually: bank deposits are not a fixed quantity of “stored cash.” They are closely connected to bank balance sheets and to the creation and repayment of credit.</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does not mean banks can create unlimited money. The Bank of England emphasises that money creation is constrained and that the amount of money created ultimately depends on the monetary policy framework set by the central bank. The Bundesbank similarly explains that banks’ ability to create money is limited by their interaction with non-banks and the central bank, by regulation, and by banks’ own incentives and constraints.</w:t>
      </w:r>
      <w:hyperlink r:id="rId4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In practical terms, banks must manage profitability and risk, secure stable funding, and comply with regulatory requirements such as capital and liquidity rules, which together limit how far lending (and therefore deposit creation) can expand.</w:t>
      </w:r>
      <w:hyperlink r:id="rId4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 creation explains why those functions matter economically: deposit accounts are not only storage tools, but also the main form of money used in transactions, and the payment system is the channel through which newly created deposits circulate. Understanding this mechanism also prepares you for later chapters on credit and debt, because it shows that borrowing is not only a personal decision; it is one of the main processes shaping money in the economy.</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ecb.europa.eu/services/glossary/html/act7c.en.html?utm_source=chatgpt.com" TargetMode="External"/><Relationship Id="rId20" Type="http://schemas.openxmlformats.org/officeDocument/2006/relationships/hyperlink" Target="https://www.consumerfinance.gov/rules-policy/regulations/1030/?utm_source=chatgpt.com" TargetMode="External"/><Relationship Id="rId42" Type="http://schemas.openxmlformats.org/officeDocument/2006/relationships/hyperlink" Target="https://www.bankofengland.co.uk/-/media/boe/files/quarterly-bulletin/2014/money-creation-in-the-modern-economy?utm_source=chatgpt.com" TargetMode="External"/><Relationship Id="rId41" Type="http://schemas.openxmlformats.org/officeDocument/2006/relationships/hyperlink" Target="https://www.ecb.europa.eu/ecb-and-you/explainers/tell-me-more/html/what_is_money.en.html?utm_source=chatgpt.com" TargetMode="External"/><Relationship Id="rId22" Type="http://schemas.openxmlformats.org/officeDocument/2006/relationships/hyperlink" Target="https://www.consumerfinance.gov/rules-policy/regulations/1030/2?utm_source=chatgpt.com" TargetMode="External"/><Relationship Id="rId44" Type="http://schemas.openxmlformats.org/officeDocument/2006/relationships/hyperlink" Target="https://www.ecb.europa.eu/ecb-and-you/explainers/tell-me-more/html/what_is_money.en.html?utm_source=chatgpt.com" TargetMode="External"/><Relationship Id="rId21" Type="http://schemas.openxmlformats.org/officeDocument/2006/relationships/hyperlink" Target="https://www.fdic.gov/consumer-resource-center/chapter-5-compound-interest?utm_source=chatgpt.com" TargetMode="External"/><Relationship Id="rId43" Type="http://schemas.openxmlformats.org/officeDocument/2006/relationships/hyperlink" Target="https://www.bankofengland.co.uk/-/media/boe/files/quarterly-bulletin/2014/money-creation-in-the-modern-economy?utm_source=chatgpt.com" TargetMode="External"/><Relationship Id="rId24" Type="http://schemas.openxmlformats.org/officeDocument/2006/relationships/hyperlink" Target="https://www.consumerfinance.gov/rules-policy/regulations/1030/A?utm_source=chatgpt.com" TargetMode="External"/><Relationship Id="rId46" Type="http://schemas.openxmlformats.org/officeDocument/2006/relationships/hyperlink" Target="https://www.bundesbank.de/resource/blob/654284/df66c4444d065a7f519e2ab0c476df58/m/2017-04-money-creation-process-data.pdf?utm_source=chatgpt.com" TargetMode="External"/><Relationship Id="rId23" Type="http://schemas.openxmlformats.org/officeDocument/2006/relationships/hyperlink" Target="https://www.investopedia.com/terms/a/apy.asp?utm_source=chatgpt.com" TargetMode="External"/><Relationship Id="rId45" Type="http://schemas.openxmlformats.org/officeDocument/2006/relationships/hyperlink" Target="https://www.bundesbank.de/resource/blob/654284/df66c4444d065a7f519e2ab0c476df58/m/2017-04-money-creation-process-data.pdf?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dic.gov/consumer-resource-center/deposit-accounts?utm_source=chatgpt.com" TargetMode="External"/><Relationship Id="rId26" Type="http://schemas.openxmlformats.org/officeDocument/2006/relationships/hyperlink" Target="https://www.investopedia.com/personal-finance/apr-apy-bank-hopes-cant-tell-difference/?utm_source=chatgpt.com" TargetMode="External"/><Relationship Id="rId25" Type="http://schemas.openxmlformats.org/officeDocument/2006/relationships/hyperlink" Target="https://www.investopedia.com/personal-finance/apr-apy-bank-hopes-cant-tell-difference/?utm_source=chatgpt.com" TargetMode="External"/><Relationship Id="rId28" Type="http://schemas.openxmlformats.org/officeDocument/2006/relationships/hyperlink" Target="https://www.ecb.europa.eu/ecb-and-you/explainers/tell-me-more/html/what_is_inflation.en.html?utm_source=chatgpt.com" TargetMode="External"/><Relationship Id="rId27" Type="http://schemas.openxmlformats.org/officeDocument/2006/relationships/hyperlink" Target="https://www.ecb.europa.eu/ecb-and-you/explainers/tell-me-more/html/what_is_inflation.en.html?utm_source=chatgpt.com" TargetMode="External"/><Relationship Id="rId5" Type="http://schemas.openxmlformats.org/officeDocument/2006/relationships/styles" Target="styles.xml"/><Relationship Id="rId6" Type="http://schemas.openxmlformats.org/officeDocument/2006/relationships/hyperlink" Target="https://www.investopedia.com/terms/f/financialintermediary.asp?utm_source=chatgpt.com" TargetMode="External"/><Relationship Id="rId29" Type="http://schemas.openxmlformats.org/officeDocument/2006/relationships/hyperlink" Target="https://www.oecd.org/en/topics/sub-issues/financial-consumer-protection.html?utm_source=chatgpt.com" TargetMode="External"/><Relationship Id="rId7" Type="http://schemas.openxmlformats.org/officeDocument/2006/relationships/hyperlink" Target="https://www.investopedia.com/terms/c/commercialbank.asp?utm_source=chatgpt.com" TargetMode="External"/><Relationship Id="rId8" Type="http://schemas.openxmlformats.org/officeDocument/2006/relationships/hyperlink" Target="https://www.fdic.gov/consumer-resource-center/deposit-accounts?utm_source=chatgpt.com" TargetMode="External"/><Relationship Id="rId31" Type="http://schemas.openxmlformats.org/officeDocument/2006/relationships/hyperlink" Target="https://www.fdic.gov/consumer-resource-center/2021-12/overdraft-and-account-fees?utm_source=chatgpt.com" TargetMode="External"/><Relationship Id="rId30" Type="http://schemas.openxmlformats.org/officeDocument/2006/relationships/hyperlink" Target="https://www.eba.europa.eu/publications-and-media/press-releases/eba-publishes-final-draft-technical-standards-under-payment?utm_source=chatgpt.com" TargetMode="External"/><Relationship Id="rId11" Type="http://schemas.openxmlformats.org/officeDocument/2006/relationships/hyperlink" Target="https://www.europeanpaymentscouncil.eu/what-we-do/epc-payment-scheme-management/clearing-and-settlement-mechanisms?utm_source=chatgpt.com" TargetMode="External"/><Relationship Id="rId33" Type="http://schemas.openxmlformats.org/officeDocument/2006/relationships/hyperlink" Target="https://www.fdic.gov/consumer-resource-center/2021-12/overdraft-and-account-fees?utm_source=chatgpt.com" TargetMode="External"/><Relationship Id="rId10" Type="http://schemas.openxmlformats.org/officeDocument/2006/relationships/hyperlink" Target="https://www.ecb.europa.eu/paym/retail/html/index.en.html?utm_source=chatgpt.com" TargetMode="External"/><Relationship Id="rId32" Type="http://schemas.openxmlformats.org/officeDocument/2006/relationships/hyperlink" Target="https://www.consumerfinance.gov/rules-policy/regulations/1005/17?utm_source=chatgpt.com" TargetMode="External"/><Relationship Id="rId13" Type="http://schemas.openxmlformats.org/officeDocument/2006/relationships/hyperlink" Target="https://www.fdic.gov/consumer-resource-center/deposit-accounts?utm_source=chatgpt.com" TargetMode="External"/><Relationship Id="rId35" Type="http://schemas.openxmlformats.org/officeDocument/2006/relationships/hyperlink" Target="https://www.worldbank.org/en/topic/paymentsystemsremittances?utm_source=chatgpt.com" TargetMode="External"/><Relationship Id="rId12" Type="http://schemas.openxmlformats.org/officeDocument/2006/relationships/hyperlink" Target="https://www.fdic.gov/resources/deposit-insurance/understanding-deposit-insurance?utm_source=chatgpt.com" TargetMode="External"/><Relationship Id="rId34" Type="http://schemas.openxmlformats.org/officeDocument/2006/relationships/hyperlink" Target="https://www.eba.europa.eu/activities/single-rulebook/regulatory-activities/consumer-protection/technical-standards-standardised-terminology-and-disclosure-documents-under-pad?utm_source=chatgpt.com" TargetMode="External"/><Relationship Id="rId15" Type="http://schemas.openxmlformats.org/officeDocument/2006/relationships/hyperlink" Target="https://www.investopedia.com/terms/c/checkingaccount.asp?utm_source=chatgpt.com" TargetMode="External"/><Relationship Id="rId37" Type="http://schemas.openxmlformats.org/officeDocument/2006/relationships/hyperlink" Target="https://www.bundesbank.de/en/tasks/payment-systems/oversight/credit-transfers-and-direct-debits-626504?utm_source=chatgpt.com" TargetMode="External"/><Relationship Id="rId14" Type="http://schemas.openxmlformats.org/officeDocument/2006/relationships/hyperlink" Target="https://www.fdic.gov/consumer-resource-center/deposit-accounts?utm_source=chatgpt.com" TargetMode="External"/><Relationship Id="rId36" Type="http://schemas.openxmlformats.org/officeDocument/2006/relationships/hyperlink" Target="https://www.ecb.europa.eu/paym/retail/html/index.en.html?utm_source=chatgpt.com" TargetMode="External"/><Relationship Id="rId17" Type="http://schemas.openxmlformats.org/officeDocument/2006/relationships/hyperlink" Target="https://www.investopedia.com/terms/c/certificateofdeposit.asp?utm_source=chatgpt.com" TargetMode="External"/><Relationship Id="rId39" Type="http://schemas.openxmlformats.org/officeDocument/2006/relationships/hyperlink" Target="https://www.federalreserve.gov/paymentsystems/fedach_about.htm?utm_source=chatgpt.com" TargetMode="External"/><Relationship Id="rId16" Type="http://schemas.openxmlformats.org/officeDocument/2006/relationships/hyperlink" Target="https://www.investopedia.com/terms/s/savingsaccount.asp?utm_source=chatgpt.com" TargetMode="External"/><Relationship Id="rId38" Type="http://schemas.openxmlformats.org/officeDocument/2006/relationships/hyperlink" Target="https://www.europeanpaymentscouncil.eu/what-we-do/epc-payment-scheme-management/clearing-and-settlement-mechanisms?utm_source=chatgpt.com" TargetMode="External"/><Relationship Id="rId19" Type="http://schemas.openxmlformats.org/officeDocument/2006/relationships/hyperlink" Target="https://www.investopedia.com/terms/m/moneymarketaccount.asp?utm_source=chatgpt.com" TargetMode="External"/><Relationship Id="rId18" Type="http://schemas.openxmlformats.org/officeDocument/2006/relationships/hyperlink" Target="https://www.fdic.gov/resources/deposit-insuranc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