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D1F4" w14:textId="77777777" w:rsidR="00D943FF" w:rsidRPr="00DC3337" w:rsidRDefault="00D943FF" w:rsidP="00070665">
      <w:pPr>
        <w:jc w:val="both"/>
        <w:rPr>
          <w:rFonts w:ascii="Arial" w:hAnsi="Arial"/>
          <w:i/>
          <w:iCs/>
          <w:sz w:val="28"/>
        </w:rPr>
      </w:pPr>
    </w:p>
    <w:p w14:paraId="44613277" w14:textId="77777777" w:rsidR="00D943FF" w:rsidRDefault="00AB3C3B" w:rsidP="00070665">
      <w:pPr>
        <w:jc w:val="both"/>
        <w:rPr>
          <w:rFonts w:ascii="Arial" w:hAnsi="Arial"/>
          <w:i/>
          <w:iCs/>
          <w:sz w:val="28"/>
        </w:rPr>
      </w:pPr>
      <w:r w:rsidRPr="00DC3337">
        <w:rPr>
          <w:rFonts w:ascii="Arial" w:hAnsi="Arial"/>
          <w:i/>
          <w:iCs/>
          <w:sz w:val="28"/>
        </w:rPr>
        <w:t>Demande d’Accompagnement</w:t>
      </w:r>
    </w:p>
    <w:p w14:paraId="5FD9DB3E" w14:textId="77777777" w:rsidR="00DC3337" w:rsidRDefault="00DC3337" w:rsidP="00070665">
      <w:pPr>
        <w:jc w:val="both"/>
        <w:rPr>
          <w:rFonts w:ascii="Arial" w:hAnsi="Arial"/>
          <w:i/>
          <w:iCs/>
          <w:sz w:val="28"/>
        </w:rPr>
      </w:pPr>
    </w:p>
    <w:p w14:paraId="43BCB576" w14:textId="77777777" w:rsidR="00DC3337" w:rsidRPr="00DC3337" w:rsidRDefault="00DC3337" w:rsidP="00070665">
      <w:pPr>
        <w:jc w:val="both"/>
        <w:rPr>
          <w:rFonts w:ascii="Arial" w:hAnsi="Arial"/>
          <w:i/>
          <w:iCs/>
          <w:sz w:val="28"/>
        </w:rPr>
      </w:pPr>
      <w:r>
        <w:rPr>
          <w:rFonts w:ascii="Arial" w:hAnsi="Arial"/>
          <w:i/>
          <w:iCs/>
          <w:sz w:val="28"/>
        </w:rPr>
        <w:t>Paris, le 22 mai 2023</w:t>
      </w:r>
    </w:p>
    <w:p w14:paraId="398A44D6" w14:textId="77777777" w:rsidR="00DC3337" w:rsidRPr="00BF0181" w:rsidRDefault="00DC3337" w:rsidP="00070665">
      <w:pPr>
        <w:jc w:val="both"/>
        <w:rPr>
          <w:rFonts w:ascii="Arial" w:hAnsi="Arial"/>
          <w:sz w:val="28"/>
        </w:rPr>
      </w:pPr>
    </w:p>
    <w:p w14:paraId="087F9ED6" w14:textId="77777777" w:rsidR="00D943FF" w:rsidRPr="00657CCF" w:rsidRDefault="00D943FF" w:rsidP="00070665">
      <w:pPr>
        <w:jc w:val="both"/>
        <w:rPr>
          <w:rFonts w:ascii="Arial" w:hAnsi="Arial"/>
          <w:b/>
          <w:sz w:val="32"/>
        </w:rPr>
      </w:pPr>
    </w:p>
    <w:p w14:paraId="22FD2A19" w14:textId="77777777" w:rsidR="00D943FF" w:rsidRPr="00DC3337" w:rsidRDefault="00D943FF" w:rsidP="00DC3337">
      <w:pPr>
        <w:jc w:val="center"/>
        <w:rPr>
          <w:rFonts w:ascii="Arial" w:hAnsi="Arial"/>
          <w:b/>
          <w:color w:val="7030A0"/>
          <w:sz w:val="32"/>
        </w:rPr>
      </w:pPr>
      <w:r w:rsidRPr="00DC3337">
        <w:rPr>
          <w:rFonts w:ascii="Arial" w:hAnsi="Arial"/>
          <w:b/>
          <w:color w:val="7030A0"/>
          <w:sz w:val="32"/>
        </w:rPr>
        <w:t>«</w:t>
      </w:r>
      <w:r w:rsidR="00C11BCE" w:rsidRPr="00DC3337">
        <w:rPr>
          <w:rFonts w:ascii="Arial" w:hAnsi="Arial"/>
          <w:b/>
          <w:color w:val="7030A0"/>
          <w:sz w:val="32"/>
        </w:rPr>
        <w:t xml:space="preserve"> </w:t>
      </w:r>
      <w:r w:rsidR="007B72FA" w:rsidRPr="00DC3337">
        <w:rPr>
          <w:rFonts w:ascii="Arial" w:hAnsi="Arial"/>
          <w:b/>
          <w:color w:val="7030A0"/>
          <w:sz w:val="32"/>
        </w:rPr>
        <w:t>Premier événement Data et IA du Groupe BPCE »</w:t>
      </w:r>
    </w:p>
    <w:p w14:paraId="6544B6F4" w14:textId="77777777" w:rsidR="00D943FF" w:rsidRPr="00657CCF" w:rsidRDefault="007B72FA" w:rsidP="00DC333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19 octobre 2023</w:t>
      </w:r>
      <w:r w:rsidR="00AB3C3B">
        <w:rPr>
          <w:rFonts w:ascii="Arial" w:hAnsi="Arial"/>
          <w:sz w:val="28"/>
        </w:rPr>
        <w:t xml:space="preserve"> (</w:t>
      </w:r>
      <w:r w:rsidR="00DA418E">
        <w:rPr>
          <w:rFonts w:ascii="Arial" w:hAnsi="Arial"/>
          <w:sz w:val="28"/>
        </w:rPr>
        <w:t xml:space="preserve">Paris / </w:t>
      </w:r>
      <w:r>
        <w:rPr>
          <w:rFonts w:ascii="Arial" w:hAnsi="Arial"/>
          <w:sz w:val="28"/>
        </w:rPr>
        <w:t>Tours de BPCE</w:t>
      </w:r>
      <w:r w:rsidR="00AB3C3B">
        <w:rPr>
          <w:rFonts w:ascii="Arial" w:hAnsi="Arial"/>
          <w:sz w:val="28"/>
        </w:rPr>
        <w:t>)</w:t>
      </w:r>
    </w:p>
    <w:p w14:paraId="182B9F7C" w14:textId="77777777" w:rsidR="00D943FF" w:rsidRDefault="00D943FF" w:rsidP="00070665">
      <w:pPr>
        <w:pBdr>
          <w:bottom w:val="single" w:sz="4" w:space="1" w:color="auto"/>
        </w:pBdr>
        <w:jc w:val="both"/>
        <w:rPr>
          <w:rFonts w:ascii="Arial" w:hAnsi="Arial"/>
          <w:sz w:val="28"/>
        </w:rPr>
      </w:pPr>
    </w:p>
    <w:p w14:paraId="5C9220A7" w14:textId="77777777" w:rsidR="00FB7148" w:rsidRPr="00657CCF" w:rsidRDefault="00FB7148" w:rsidP="00070665">
      <w:pPr>
        <w:pBdr>
          <w:bottom w:val="single" w:sz="4" w:space="1" w:color="auto"/>
        </w:pBdr>
        <w:jc w:val="both"/>
        <w:rPr>
          <w:rFonts w:ascii="Arial" w:hAnsi="Arial"/>
          <w:sz w:val="28"/>
        </w:rPr>
      </w:pPr>
    </w:p>
    <w:p w14:paraId="6CFB80E1" w14:textId="77777777" w:rsidR="00D943FF" w:rsidRPr="00657CCF" w:rsidRDefault="00D943FF" w:rsidP="00070665">
      <w:pPr>
        <w:jc w:val="both"/>
        <w:rPr>
          <w:rFonts w:ascii="Arial" w:hAnsi="Arial"/>
          <w:sz w:val="28"/>
        </w:rPr>
      </w:pPr>
    </w:p>
    <w:p w14:paraId="078C2C41" w14:textId="77777777" w:rsidR="00D943FF" w:rsidRPr="00657CCF" w:rsidRDefault="00B25413" w:rsidP="00070665">
      <w:pPr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C</w:t>
      </w:r>
      <w:r w:rsidR="00D943FF" w:rsidRPr="00657CCF">
        <w:rPr>
          <w:rFonts w:ascii="Arial" w:hAnsi="Arial"/>
          <w:b/>
          <w:sz w:val="28"/>
        </w:rPr>
        <w:t>on</w:t>
      </w:r>
      <w:r>
        <w:rPr>
          <w:rFonts w:ascii="Arial" w:hAnsi="Arial"/>
          <w:b/>
          <w:sz w:val="28"/>
        </w:rPr>
        <w:t>texte</w:t>
      </w:r>
    </w:p>
    <w:p w14:paraId="278A7E79" w14:textId="77777777" w:rsidR="00D943FF" w:rsidRPr="00657CCF" w:rsidRDefault="00D943FF" w:rsidP="00070665">
      <w:pPr>
        <w:jc w:val="both"/>
        <w:rPr>
          <w:rFonts w:ascii="Arial" w:hAnsi="Arial"/>
          <w:sz w:val="28"/>
        </w:rPr>
      </w:pPr>
    </w:p>
    <w:p w14:paraId="0722BF07" w14:textId="77777777" w:rsidR="00B25413" w:rsidRPr="00B25413" w:rsidRDefault="00B25413" w:rsidP="00070665">
      <w:pPr>
        <w:jc w:val="both"/>
        <w:rPr>
          <w:rFonts w:ascii="Arial" w:eastAsia="Verdana" w:hAnsi="Arial"/>
          <w:szCs w:val="24"/>
        </w:rPr>
      </w:pPr>
      <w:r w:rsidRPr="00B25413">
        <w:rPr>
          <w:rFonts w:ascii="Arial" w:hAnsi="Arial"/>
          <w:szCs w:val="24"/>
        </w:rPr>
        <w:t>La présente demande porte</w:t>
      </w:r>
      <w:r w:rsidRPr="00B25413">
        <w:rPr>
          <w:rFonts w:ascii="Arial" w:eastAsia="Verdana" w:hAnsi="Arial"/>
          <w:szCs w:val="24"/>
        </w:rPr>
        <w:t xml:space="preserve"> sur une prestation </w:t>
      </w:r>
      <w:r w:rsidR="00070665">
        <w:rPr>
          <w:rFonts w:ascii="Arial" w:eastAsia="Verdana" w:hAnsi="Arial"/>
          <w:szCs w:val="24"/>
        </w:rPr>
        <w:t>d’accompagnement</w:t>
      </w:r>
      <w:r w:rsidRPr="00B25413">
        <w:rPr>
          <w:rFonts w:ascii="Arial" w:eastAsia="Verdana" w:hAnsi="Arial"/>
          <w:szCs w:val="24"/>
        </w:rPr>
        <w:t xml:space="preserve"> pour l’</w:t>
      </w:r>
      <w:r>
        <w:rPr>
          <w:rFonts w:ascii="Arial" w:eastAsia="Verdana" w:hAnsi="Arial"/>
          <w:szCs w:val="24"/>
        </w:rPr>
        <w:t>organisation d</w:t>
      </w:r>
      <w:r w:rsidR="007B72FA">
        <w:rPr>
          <w:rFonts w:ascii="Arial" w:eastAsia="Verdana" w:hAnsi="Arial"/>
          <w:szCs w:val="24"/>
        </w:rPr>
        <w:t xml:space="preserve">’un </w:t>
      </w:r>
      <w:r w:rsidRPr="00B25413">
        <w:rPr>
          <w:rFonts w:ascii="Arial" w:eastAsia="Verdana" w:hAnsi="Arial"/>
          <w:szCs w:val="24"/>
        </w:rPr>
        <w:t xml:space="preserve">événement </w:t>
      </w:r>
      <w:r w:rsidR="007B72FA">
        <w:rPr>
          <w:rFonts w:ascii="Arial" w:eastAsia="Verdana" w:hAnsi="Arial"/>
          <w:szCs w:val="24"/>
        </w:rPr>
        <w:t>du Groupe BCE inédit, porté par les équipes du Pôle Digital &amp; Payments, et qui vise à accentuer la visibilité du groupe sur les sujets Data et IA</w:t>
      </w:r>
      <w:r w:rsidR="00C11442">
        <w:rPr>
          <w:rFonts w:ascii="Arial" w:eastAsia="Verdana" w:hAnsi="Arial"/>
          <w:szCs w:val="24"/>
        </w:rPr>
        <w:t>.</w:t>
      </w:r>
    </w:p>
    <w:p w14:paraId="5B072591" w14:textId="77777777" w:rsidR="00B25413" w:rsidRPr="00B25413" w:rsidRDefault="00C11442" w:rsidP="00070665">
      <w:pPr>
        <w:spacing w:before="120"/>
        <w:jc w:val="both"/>
        <w:rPr>
          <w:rFonts w:ascii="Arial" w:eastAsia="Verdana" w:hAnsi="Arial"/>
          <w:szCs w:val="24"/>
        </w:rPr>
      </w:pPr>
      <w:r>
        <w:rPr>
          <w:rFonts w:ascii="Arial" w:eastAsia="Verdana" w:hAnsi="Arial"/>
          <w:szCs w:val="24"/>
        </w:rPr>
        <w:t xml:space="preserve">Il s’agit d’une première édition, qui </w:t>
      </w:r>
      <w:r w:rsidR="007B4EE5">
        <w:rPr>
          <w:rFonts w:ascii="Arial" w:eastAsia="Verdana" w:hAnsi="Arial"/>
          <w:szCs w:val="24"/>
        </w:rPr>
        <w:t>est destiné à un public externe au groupe (partenaires, personnalités de l’écosystème Data français, et</w:t>
      </w:r>
      <w:r>
        <w:rPr>
          <w:rFonts w:ascii="Arial" w:eastAsia="Verdana" w:hAnsi="Arial"/>
          <w:szCs w:val="24"/>
        </w:rPr>
        <w:t xml:space="preserve"> un volet interne </w:t>
      </w:r>
      <w:r w:rsidR="007B4EE5">
        <w:rPr>
          <w:rFonts w:ascii="Arial" w:eastAsia="Verdana" w:hAnsi="Arial"/>
          <w:szCs w:val="24"/>
        </w:rPr>
        <w:t>(collaborateurs et dirigeants du groupe)</w:t>
      </w:r>
      <w:r>
        <w:rPr>
          <w:rFonts w:ascii="Arial" w:eastAsia="Verdana" w:hAnsi="Arial"/>
          <w:szCs w:val="24"/>
        </w:rPr>
        <w:t>.</w:t>
      </w:r>
    </w:p>
    <w:p w14:paraId="3C390417" w14:textId="77777777" w:rsidR="00D943FF" w:rsidRPr="00B25413" w:rsidRDefault="00D943FF" w:rsidP="00070665">
      <w:pPr>
        <w:pBdr>
          <w:bottom w:val="single" w:sz="4" w:space="1" w:color="auto"/>
        </w:pBdr>
        <w:jc w:val="both"/>
        <w:rPr>
          <w:rFonts w:ascii="Arial" w:hAnsi="Arial"/>
          <w:szCs w:val="24"/>
        </w:rPr>
      </w:pPr>
    </w:p>
    <w:p w14:paraId="725ECD14" w14:textId="77777777" w:rsidR="00D943FF" w:rsidRPr="00B25413" w:rsidRDefault="00D943FF" w:rsidP="00070665">
      <w:pPr>
        <w:jc w:val="both"/>
        <w:rPr>
          <w:rFonts w:ascii="Arial" w:hAnsi="Arial"/>
          <w:b/>
          <w:szCs w:val="24"/>
        </w:rPr>
      </w:pPr>
    </w:p>
    <w:p w14:paraId="39EE7998" w14:textId="77777777" w:rsidR="00B25413" w:rsidRPr="00657CCF" w:rsidRDefault="00B25413" w:rsidP="00070665">
      <w:pPr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Objectifs</w:t>
      </w:r>
    </w:p>
    <w:p w14:paraId="0CBB837B" w14:textId="77777777" w:rsidR="00B25413" w:rsidRPr="00B25413" w:rsidRDefault="00B25413" w:rsidP="00070665">
      <w:pPr>
        <w:spacing w:before="120" w:after="60"/>
        <w:jc w:val="both"/>
        <w:rPr>
          <w:rFonts w:ascii="Arial" w:eastAsia="Verdana" w:hAnsi="Arial"/>
          <w:szCs w:val="24"/>
        </w:rPr>
      </w:pPr>
      <w:r w:rsidRPr="00B25413">
        <w:rPr>
          <w:rFonts w:ascii="Arial" w:eastAsia="Verdana" w:hAnsi="Arial"/>
          <w:szCs w:val="24"/>
        </w:rPr>
        <w:t>Plusieurs objectifs sont poursuivis :</w:t>
      </w:r>
    </w:p>
    <w:p w14:paraId="10AFAF32" w14:textId="77777777" w:rsidR="00C11442" w:rsidRPr="00C11442" w:rsidRDefault="00C11442" w:rsidP="00C11442">
      <w:pPr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Cs w:val="24"/>
        </w:rPr>
      </w:pPr>
      <w:r w:rsidRPr="00C11442">
        <w:rPr>
          <w:rFonts w:ascii="Arial" w:eastAsia="Times New Roman" w:hAnsi="Arial" w:cs="Arial"/>
          <w:color w:val="000000"/>
          <w:szCs w:val="24"/>
        </w:rPr>
        <w:t>Permettre au Groupe BPCE d'être perçu comme</w:t>
      </w:r>
      <w:r>
        <w:rPr>
          <w:rFonts w:ascii="Arial" w:eastAsia="Times New Roman" w:hAnsi="Arial" w:cs="Arial"/>
          <w:color w:val="000000"/>
          <w:szCs w:val="24"/>
        </w:rPr>
        <w:t xml:space="preserve"> leader sur les sujets da la Data &amp; l’IA responsables </w:t>
      </w:r>
      <w:r w:rsidRPr="00C11442">
        <w:rPr>
          <w:rFonts w:ascii="Arial" w:eastAsia="Times New Roman" w:hAnsi="Arial" w:cs="Arial"/>
          <w:color w:val="000000"/>
          <w:szCs w:val="24"/>
        </w:rPr>
        <w:t>en organisant, avec des</w:t>
      </w:r>
      <w:r>
        <w:rPr>
          <w:rFonts w:ascii="Arial" w:eastAsia="Times New Roman" w:hAnsi="Arial" w:cs="Arial"/>
          <w:color w:val="000000"/>
          <w:szCs w:val="24"/>
        </w:rPr>
        <w:t xml:space="preserve"> entreprises renommées</w:t>
      </w:r>
      <w:r w:rsidRPr="00C11442">
        <w:rPr>
          <w:rFonts w:ascii="Arial" w:eastAsia="Times New Roman" w:hAnsi="Arial" w:cs="Arial"/>
          <w:color w:val="000000"/>
          <w:szCs w:val="24"/>
        </w:rPr>
        <w:t>, l'événement qui comptera pour cette année et les suivantes dans l'écosystème français en matière de Data &amp; IA.</w:t>
      </w:r>
    </w:p>
    <w:p w14:paraId="3EE0DCC4" w14:textId="77777777" w:rsidR="00C11442" w:rsidRPr="00C11442" w:rsidRDefault="00C11442" w:rsidP="00C11442">
      <w:pPr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Cs w:val="24"/>
        </w:rPr>
      </w:pPr>
      <w:r w:rsidRPr="00C11442">
        <w:rPr>
          <w:rFonts w:ascii="Arial" w:eastAsia="Times New Roman" w:hAnsi="Arial" w:cs="Arial"/>
          <w:color w:val="000000"/>
          <w:szCs w:val="24"/>
        </w:rPr>
        <w:t xml:space="preserve">Donner le signal au marché et à l’interne que </w:t>
      </w:r>
      <w:r>
        <w:rPr>
          <w:rFonts w:ascii="Arial" w:eastAsia="Times New Roman" w:hAnsi="Arial" w:cs="Arial"/>
          <w:color w:val="000000"/>
          <w:szCs w:val="24"/>
        </w:rPr>
        <w:t xml:space="preserve">le Groupe BPCE et ses marques (Banque Populaire, Caisse d’Epargne…) sont à la pointe </w:t>
      </w:r>
      <w:r w:rsidRPr="00C11442">
        <w:rPr>
          <w:rFonts w:ascii="Arial" w:eastAsia="Times New Roman" w:hAnsi="Arial" w:cs="Arial"/>
          <w:color w:val="000000"/>
          <w:szCs w:val="24"/>
        </w:rPr>
        <w:t>de ces sujets sur un temps court, comme sur un temps long.</w:t>
      </w:r>
    </w:p>
    <w:p w14:paraId="53822F9B" w14:textId="77777777" w:rsidR="00C11442" w:rsidRPr="00C11442" w:rsidRDefault="00C11442" w:rsidP="00C11442">
      <w:pPr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Cs w:val="24"/>
        </w:rPr>
      </w:pPr>
      <w:r w:rsidRPr="00C11442">
        <w:rPr>
          <w:rFonts w:ascii="Arial" w:eastAsia="Times New Roman" w:hAnsi="Arial" w:cs="Arial"/>
          <w:color w:val="000000"/>
          <w:szCs w:val="24"/>
        </w:rPr>
        <w:t>Prendre notre</w:t>
      </w:r>
      <w:r>
        <w:rPr>
          <w:rFonts w:ascii="Arial" w:eastAsia="Times New Roman" w:hAnsi="Arial" w:cs="Arial"/>
          <w:color w:val="000000"/>
          <w:szCs w:val="24"/>
        </w:rPr>
        <w:t xml:space="preserve"> vraie place </w:t>
      </w:r>
      <w:r w:rsidRPr="00C11442">
        <w:rPr>
          <w:rFonts w:ascii="Arial" w:eastAsia="Times New Roman" w:hAnsi="Arial" w:cs="Arial"/>
          <w:color w:val="000000"/>
          <w:szCs w:val="24"/>
        </w:rPr>
        <w:t>au sein de l’écosystème Data &amp; IA français.</w:t>
      </w:r>
    </w:p>
    <w:p w14:paraId="4469366F" w14:textId="77777777" w:rsidR="00C11442" w:rsidRDefault="00C11442" w:rsidP="00C11442">
      <w:pPr>
        <w:numPr>
          <w:ilvl w:val="0"/>
          <w:numId w:val="9"/>
        </w:numPr>
        <w:jc w:val="both"/>
        <w:rPr>
          <w:rFonts w:ascii="Arial" w:eastAsia="Times New Roman" w:hAnsi="Arial" w:cs="Arial"/>
          <w:color w:val="000000"/>
          <w:szCs w:val="24"/>
        </w:rPr>
      </w:pPr>
      <w:r w:rsidRPr="00C11442">
        <w:rPr>
          <w:rFonts w:ascii="Arial" w:eastAsia="Times New Roman" w:hAnsi="Arial" w:cs="Arial"/>
          <w:color w:val="000000"/>
          <w:szCs w:val="24"/>
        </w:rPr>
        <w:t>Donner envie aux</w:t>
      </w:r>
      <w:r>
        <w:rPr>
          <w:rFonts w:ascii="Arial" w:eastAsia="Times New Roman" w:hAnsi="Arial" w:cs="Arial"/>
          <w:color w:val="000000"/>
          <w:szCs w:val="24"/>
        </w:rPr>
        <w:t xml:space="preserve"> talents</w:t>
      </w:r>
      <w:r w:rsidRPr="00C11442">
        <w:rPr>
          <w:rFonts w:ascii="Arial" w:eastAsia="Times New Roman" w:hAnsi="Arial" w:cs="Arial"/>
          <w:color w:val="000000"/>
          <w:szCs w:val="24"/>
        </w:rPr>
        <w:t xml:space="preserve"> de rester et aux autres de venir travailler avec nous.</w:t>
      </w:r>
    </w:p>
    <w:p w14:paraId="135A1419" w14:textId="77777777" w:rsidR="00C11442" w:rsidRPr="00C11442" w:rsidRDefault="00C11442" w:rsidP="00C11442">
      <w:pPr>
        <w:ind w:left="720"/>
        <w:jc w:val="both"/>
        <w:rPr>
          <w:rFonts w:ascii="Arial" w:eastAsia="Times New Roman" w:hAnsi="Arial" w:cs="Arial"/>
          <w:color w:val="000000"/>
          <w:szCs w:val="24"/>
        </w:rPr>
      </w:pPr>
    </w:p>
    <w:p w14:paraId="01C1B969" w14:textId="77777777" w:rsidR="006D31FF" w:rsidRPr="00B25413" w:rsidRDefault="006D31FF" w:rsidP="00070665">
      <w:pPr>
        <w:jc w:val="both"/>
        <w:rPr>
          <w:rFonts w:ascii="Arial" w:hAnsi="Arial"/>
          <w:b/>
          <w:szCs w:val="24"/>
        </w:rPr>
      </w:pPr>
      <w:r w:rsidRPr="006D31FF">
        <w:rPr>
          <w:rFonts w:ascii="Arial" w:eastAsia="Times New Roman" w:hAnsi="Arial"/>
          <w:color w:val="000000"/>
          <w:szCs w:val="24"/>
        </w:rPr>
        <w:t xml:space="preserve">En résumé, </w:t>
      </w:r>
      <w:r w:rsidR="00C6254C">
        <w:rPr>
          <w:rFonts w:ascii="Arial" w:eastAsia="Times New Roman" w:hAnsi="Arial"/>
          <w:color w:val="000000"/>
          <w:szCs w:val="24"/>
        </w:rPr>
        <w:t>cet événement</w:t>
      </w:r>
      <w:r w:rsidRPr="006D31FF">
        <w:rPr>
          <w:rFonts w:ascii="Arial" w:eastAsia="Times New Roman" w:hAnsi="Arial"/>
          <w:color w:val="000000"/>
          <w:szCs w:val="24"/>
        </w:rPr>
        <w:t xml:space="preserve"> sera réussi s’il produit un effet mémorable, par son contenu comme par sa forme. </w:t>
      </w:r>
    </w:p>
    <w:p w14:paraId="7FF298B4" w14:textId="77777777" w:rsidR="006D31FF" w:rsidRDefault="006D31FF" w:rsidP="00070665">
      <w:pPr>
        <w:shd w:val="clear" w:color="auto" w:fill="FFFFFF"/>
        <w:spacing w:after="150"/>
        <w:jc w:val="both"/>
        <w:rPr>
          <w:rFonts w:ascii="Arial" w:eastAsia="Verdana" w:hAnsi="Arial"/>
          <w:szCs w:val="24"/>
        </w:rPr>
      </w:pPr>
    </w:p>
    <w:p w14:paraId="18D92E00" w14:textId="77777777" w:rsidR="00B25413" w:rsidRDefault="00B25413" w:rsidP="00070665">
      <w:pPr>
        <w:shd w:val="clear" w:color="auto" w:fill="FFFFFF"/>
        <w:spacing w:after="150"/>
        <w:jc w:val="both"/>
        <w:rPr>
          <w:rFonts w:ascii="Arial" w:eastAsia="Verdana" w:hAnsi="Arial"/>
          <w:szCs w:val="24"/>
        </w:rPr>
      </w:pPr>
      <w:r w:rsidRPr="00B25413">
        <w:rPr>
          <w:rFonts w:ascii="Arial" w:eastAsia="Verdana" w:hAnsi="Arial"/>
          <w:szCs w:val="24"/>
        </w:rPr>
        <w:lastRenderedPageBreak/>
        <w:t>A noter que</w:t>
      </w:r>
      <w:r w:rsidR="006D31FF">
        <w:rPr>
          <w:rFonts w:ascii="Arial" w:eastAsia="Verdana" w:hAnsi="Arial"/>
          <w:szCs w:val="24"/>
        </w:rPr>
        <w:t> :</w:t>
      </w:r>
    </w:p>
    <w:p w14:paraId="5EC6831A" w14:textId="77777777" w:rsidR="00DC3337" w:rsidRPr="00B25413" w:rsidRDefault="00DC3337" w:rsidP="00DC3337">
      <w:pPr>
        <w:numPr>
          <w:ilvl w:val="0"/>
          <w:numId w:val="10"/>
        </w:numPr>
        <w:shd w:val="clear" w:color="auto" w:fill="FFFFFF"/>
        <w:spacing w:after="150"/>
        <w:jc w:val="both"/>
        <w:rPr>
          <w:rFonts w:ascii="Arial" w:eastAsia="Verdana" w:hAnsi="Arial"/>
          <w:szCs w:val="24"/>
        </w:rPr>
      </w:pPr>
      <w:r>
        <w:rPr>
          <w:rFonts w:ascii="Arial" w:eastAsia="Verdana" w:hAnsi="Arial"/>
          <w:szCs w:val="24"/>
        </w:rPr>
        <w:t>Cet événement se tiendra dans les locaux de BPCE, notamment dans l’auditorium des Tours BPCE (la location du lieu n’est donc pas à inclure dans le budget).</w:t>
      </w:r>
    </w:p>
    <w:p w14:paraId="00A052C4" w14:textId="77777777" w:rsidR="00B25413" w:rsidRPr="007B4EE5" w:rsidRDefault="00B25413" w:rsidP="007B4EE5">
      <w:pPr>
        <w:numPr>
          <w:ilvl w:val="0"/>
          <w:numId w:val="10"/>
        </w:numPr>
        <w:shd w:val="clear" w:color="auto" w:fill="FFFFFF"/>
        <w:spacing w:after="150"/>
        <w:jc w:val="both"/>
        <w:rPr>
          <w:rFonts w:ascii="Arial" w:eastAsia="Verdana" w:hAnsi="Arial"/>
          <w:szCs w:val="24"/>
        </w:rPr>
      </w:pPr>
      <w:r w:rsidRPr="007B4EE5">
        <w:rPr>
          <w:rFonts w:ascii="Arial" w:eastAsia="Verdana" w:hAnsi="Arial"/>
          <w:szCs w:val="24"/>
        </w:rPr>
        <w:t>Le format hybride devra permettre une expérience utilisateur similaire sur place et à distance</w:t>
      </w:r>
    </w:p>
    <w:p w14:paraId="2193E646" w14:textId="77777777" w:rsidR="00313733" w:rsidRPr="00B25413" w:rsidRDefault="00313733" w:rsidP="00070665">
      <w:pPr>
        <w:pBdr>
          <w:bottom w:val="single" w:sz="4" w:space="1" w:color="auto"/>
        </w:pBdr>
        <w:jc w:val="both"/>
        <w:rPr>
          <w:rFonts w:ascii="Arial" w:hAnsi="Arial"/>
          <w:szCs w:val="24"/>
        </w:rPr>
      </w:pPr>
    </w:p>
    <w:p w14:paraId="41F5C055" w14:textId="77777777" w:rsidR="00313733" w:rsidRPr="00B25413" w:rsidRDefault="00313733" w:rsidP="00070665">
      <w:pPr>
        <w:jc w:val="both"/>
        <w:rPr>
          <w:rFonts w:ascii="Arial" w:hAnsi="Arial"/>
          <w:b/>
          <w:szCs w:val="24"/>
        </w:rPr>
      </w:pPr>
    </w:p>
    <w:p w14:paraId="0BE04500" w14:textId="77777777" w:rsidR="00B25413" w:rsidRPr="00657CCF" w:rsidRDefault="00B25413" w:rsidP="00070665">
      <w:pPr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Nos attentes</w:t>
      </w:r>
    </w:p>
    <w:p w14:paraId="35C3D124" w14:textId="77777777" w:rsidR="00B25413" w:rsidRPr="00B25413" w:rsidRDefault="00B25413" w:rsidP="00070665">
      <w:pPr>
        <w:jc w:val="both"/>
        <w:rPr>
          <w:rFonts w:ascii="Arial" w:hAnsi="Arial"/>
          <w:b/>
          <w:szCs w:val="24"/>
        </w:rPr>
      </w:pPr>
    </w:p>
    <w:p w14:paraId="343B1823" w14:textId="77777777" w:rsidR="00B25413" w:rsidRPr="00B25413" w:rsidRDefault="00B25413" w:rsidP="00070665">
      <w:p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  <w:r w:rsidRPr="00B25413">
        <w:rPr>
          <w:rFonts w:ascii="Arial" w:eastAsia="Times New Roman" w:hAnsi="Arial"/>
          <w:color w:val="000000"/>
          <w:szCs w:val="24"/>
        </w:rPr>
        <w:t xml:space="preserve">Conseil stratégique et opérationnel, en lien avec les équipes de </w:t>
      </w:r>
      <w:r w:rsidR="00951119">
        <w:rPr>
          <w:rFonts w:ascii="Arial" w:eastAsia="Times New Roman" w:hAnsi="Arial"/>
          <w:color w:val="000000"/>
          <w:szCs w:val="24"/>
        </w:rPr>
        <w:t>Data et Communication de BPCE Digital &amp; Payments</w:t>
      </w:r>
      <w:r w:rsidRPr="00B25413">
        <w:rPr>
          <w:rFonts w:ascii="Arial" w:eastAsia="Times New Roman" w:hAnsi="Arial"/>
          <w:color w:val="000000"/>
          <w:szCs w:val="24"/>
        </w:rPr>
        <w:t xml:space="preserve"> </w:t>
      </w:r>
      <w:r w:rsidRPr="00B25413">
        <w:rPr>
          <w:rFonts w:ascii="Arial" w:eastAsia="Times New Roman" w:hAnsi="Arial"/>
          <w:b/>
          <w:color w:val="000000"/>
          <w:szCs w:val="24"/>
        </w:rPr>
        <w:t>dans la préparation de l’événement.</w:t>
      </w:r>
    </w:p>
    <w:p w14:paraId="5A19CA2F" w14:textId="6DBDFCD2" w:rsidR="00B25413" w:rsidRPr="00B25413" w:rsidRDefault="00B25413" w:rsidP="00070665">
      <w:pPr>
        <w:pStyle w:val="Paragraphedeliste"/>
        <w:numPr>
          <w:ilvl w:val="0"/>
          <w:numId w:val="6"/>
        </w:numPr>
        <w:shd w:val="clear" w:color="auto" w:fill="FFFFFF"/>
        <w:spacing w:after="15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B25413">
        <w:rPr>
          <w:rFonts w:ascii="Arial" w:eastAsia="Times New Roman" w:hAnsi="Arial"/>
          <w:color w:val="000000"/>
          <w:sz w:val="24"/>
          <w:szCs w:val="24"/>
          <w:lang w:eastAsia="fr-FR"/>
        </w:rPr>
        <w:t>Proposition de concept</w:t>
      </w:r>
      <w:r w:rsidR="00DC3337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(identité, nom et pitch de l’événement) </w:t>
      </w:r>
      <w:r w:rsidRPr="00B25413">
        <w:rPr>
          <w:rFonts w:ascii="Arial" w:eastAsia="Times New Roman" w:hAnsi="Arial"/>
          <w:color w:val="000000"/>
          <w:sz w:val="24"/>
          <w:szCs w:val="24"/>
          <w:lang w:eastAsia="fr-FR"/>
        </w:rPr>
        <w:t>et de contenu</w:t>
      </w:r>
      <w:r w:rsidR="003854E4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à la marge pour « emballer » l’événement et créer de la continuité ou des éléments de surprise.</w:t>
      </w:r>
    </w:p>
    <w:p w14:paraId="2A6E5441" w14:textId="77777777" w:rsidR="00B25413" w:rsidRPr="00B25413" w:rsidRDefault="00B25413" w:rsidP="00070665">
      <w:pPr>
        <w:pStyle w:val="Paragraphedeliste"/>
        <w:numPr>
          <w:ilvl w:val="0"/>
          <w:numId w:val="6"/>
        </w:numPr>
        <w:shd w:val="clear" w:color="auto" w:fill="FFFFFF"/>
        <w:spacing w:after="15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B25413">
        <w:rPr>
          <w:rFonts w:ascii="Arial" w:eastAsia="Times New Roman" w:hAnsi="Arial"/>
          <w:color w:val="000000"/>
          <w:sz w:val="24"/>
          <w:szCs w:val="24"/>
          <w:lang w:eastAsia="fr-FR"/>
        </w:rPr>
        <w:t>Création des supports d’animation (slides, vidéos, livret, kit de com ou de déploiement etc. – à préciser en fonction des besoins).</w:t>
      </w:r>
    </w:p>
    <w:p w14:paraId="65A2F9A8" w14:textId="77777777" w:rsidR="00B25413" w:rsidRPr="00B25413" w:rsidRDefault="00B25413" w:rsidP="00070665">
      <w:pPr>
        <w:pStyle w:val="Paragraphedeliste"/>
        <w:numPr>
          <w:ilvl w:val="0"/>
          <w:numId w:val="6"/>
        </w:numPr>
        <w:shd w:val="clear" w:color="auto" w:fill="FFFFFF"/>
        <w:spacing w:after="15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B25413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Planification et suivi des différentes phases du projet, réunions diverses, conduite d’entretiens avec </w:t>
      </w:r>
      <w:r w:rsidR="00DC3337">
        <w:rPr>
          <w:rFonts w:ascii="Arial" w:eastAsia="Times New Roman" w:hAnsi="Arial"/>
          <w:color w:val="000000"/>
          <w:sz w:val="24"/>
          <w:szCs w:val="24"/>
          <w:lang w:eastAsia="fr-FR"/>
        </w:rPr>
        <w:t>les intervenants.</w:t>
      </w:r>
    </w:p>
    <w:p w14:paraId="38509D24" w14:textId="77777777" w:rsidR="006D31FF" w:rsidRDefault="00B25413" w:rsidP="00070665">
      <w:pPr>
        <w:pStyle w:val="Paragraphedeliste"/>
        <w:numPr>
          <w:ilvl w:val="0"/>
          <w:numId w:val="6"/>
        </w:numPr>
        <w:shd w:val="clear" w:color="auto" w:fill="FFFFFF"/>
        <w:spacing w:after="15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B25413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Présence d’une équipe sur place en appui des équipes </w:t>
      </w:r>
      <w:r w:rsidR="00DC3337">
        <w:rPr>
          <w:rFonts w:ascii="Arial" w:eastAsia="Times New Roman" w:hAnsi="Arial"/>
          <w:color w:val="000000"/>
          <w:sz w:val="24"/>
          <w:szCs w:val="24"/>
          <w:lang w:eastAsia="fr-FR"/>
        </w:rPr>
        <w:t>BPCE</w:t>
      </w:r>
      <w:r w:rsidRPr="00B25413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pour assurer la coordination </w:t>
      </w:r>
      <w:r w:rsidR="00DC3337">
        <w:rPr>
          <w:rFonts w:ascii="Arial" w:eastAsia="Times New Roman" w:hAnsi="Arial"/>
          <w:color w:val="000000"/>
          <w:sz w:val="24"/>
          <w:szCs w:val="24"/>
          <w:lang w:eastAsia="fr-FR"/>
        </w:rPr>
        <w:t>de l’événement</w:t>
      </w:r>
      <w:r w:rsidRPr="00B25413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le jour J (et éventuelles répétitions préalables). </w:t>
      </w:r>
    </w:p>
    <w:p w14:paraId="07A93244" w14:textId="77777777" w:rsidR="007B4EE5" w:rsidRDefault="007B4EE5" w:rsidP="00070665">
      <w:pPr>
        <w:pStyle w:val="Paragraphedeliste"/>
        <w:numPr>
          <w:ilvl w:val="0"/>
          <w:numId w:val="6"/>
        </w:numPr>
        <w:shd w:val="clear" w:color="auto" w:fill="FFFFFF"/>
        <w:spacing w:after="15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/>
          <w:color w:val="000000"/>
          <w:sz w:val="24"/>
          <w:szCs w:val="24"/>
          <w:lang w:eastAsia="fr-FR"/>
        </w:rPr>
        <w:t>Prestations et équipes techniques complémentaires à celles du groupe (équipe technique en régie de l’auditorium).</w:t>
      </w:r>
    </w:p>
    <w:p w14:paraId="00FA196C" w14:textId="01A7F1A1" w:rsidR="00B25413" w:rsidRPr="00B25413" w:rsidRDefault="00B25413" w:rsidP="003854E4">
      <w:pPr>
        <w:pStyle w:val="Paragraphedeliste"/>
        <w:shd w:val="clear" w:color="auto" w:fill="FFFFFF"/>
        <w:spacing w:after="150"/>
        <w:rPr>
          <w:rFonts w:ascii="Arial" w:eastAsia="Times New Roman" w:hAnsi="Arial"/>
          <w:color w:val="000000"/>
          <w:sz w:val="24"/>
          <w:szCs w:val="24"/>
          <w:lang w:eastAsia="fr-FR"/>
        </w:rPr>
      </w:pPr>
    </w:p>
    <w:p w14:paraId="15ADF8FD" w14:textId="77777777" w:rsidR="00B25413" w:rsidRDefault="00B25413" w:rsidP="00070665">
      <w:pPr>
        <w:jc w:val="both"/>
        <w:rPr>
          <w:rFonts w:ascii="Arial" w:hAnsi="Arial"/>
          <w:b/>
          <w:szCs w:val="24"/>
        </w:rPr>
      </w:pPr>
    </w:p>
    <w:p w14:paraId="4E35B097" w14:textId="77777777" w:rsidR="00313733" w:rsidRDefault="00313733" w:rsidP="00070665">
      <w:pPr>
        <w:pBdr>
          <w:bottom w:val="single" w:sz="4" w:space="1" w:color="auto"/>
        </w:pBdr>
        <w:jc w:val="both"/>
        <w:rPr>
          <w:rFonts w:ascii="Arial" w:hAnsi="Arial"/>
          <w:szCs w:val="24"/>
        </w:rPr>
      </w:pPr>
    </w:p>
    <w:p w14:paraId="7CC47C69" w14:textId="77777777" w:rsidR="00FB7148" w:rsidRPr="00B25413" w:rsidRDefault="00FB7148" w:rsidP="00070665">
      <w:pPr>
        <w:pBdr>
          <w:bottom w:val="single" w:sz="4" w:space="1" w:color="auto"/>
        </w:pBdr>
        <w:jc w:val="both"/>
        <w:rPr>
          <w:rFonts w:ascii="Arial" w:hAnsi="Arial"/>
          <w:szCs w:val="24"/>
        </w:rPr>
      </w:pPr>
    </w:p>
    <w:p w14:paraId="18E5D1B7" w14:textId="77777777" w:rsidR="00313733" w:rsidRPr="00B25413" w:rsidRDefault="00313733" w:rsidP="00070665">
      <w:pPr>
        <w:jc w:val="both"/>
        <w:rPr>
          <w:rFonts w:ascii="Arial" w:hAnsi="Arial"/>
          <w:b/>
          <w:szCs w:val="24"/>
        </w:rPr>
      </w:pPr>
    </w:p>
    <w:p w14:paraId="43AB1FD7" w14:textId="77777777" w:rsidR="006D31FF" w:rsidRDefault="006D31FF" w:rsidP="00070665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Eléments de réponse</w:t>
      </w:r>
      <w:r w:rsidR="00B94290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 xml:space="preserve"> souhaités</w:t>
      </w:r>
      <w:r w:rsidR="00070665">
        <w:rPr>
          <w:rFonts w:ascii="Arial" w:hAnsi="Arial"/>
          <w:b/>
          <w:sz w:val="28"/>
        </w:rPr>
        <w:t xml:space="preserve"> pour la proposition</w:t>
      </w:r>
      <w:r>
        <w:rPr>
          <w:rFonts w:ascii="Arial" w:hAnsi="Arial"/>
          <w:b/>
          <w:sz w:val="28"/>
        </w:rPr>
        <w:t xml:space="preserve"> </w:t>
      </w:r>
    </w:p>
    <w:p w14:paraId="16F14417" w14:textId="77777777" w:rsidR="00070665" w:rsidRDefault="00070665" w:rsidP="00070665">
      <w:pPr>
        <w:jc w:val="both"/>
        <w:rPr>
          <w:rFonts w:ascii="Arial" w:hAnsi="Arial"/>
          <w:b/>
          <w:sz w:val="28"/>
        </w:rPr>
      </w:pPr>
    </w:p>
    <w:p w14:paraId="40CDD6AF" w14:textId="77777777" w:rsidR="00B94290" w:rsidRDefault="00B94290" w:rsidP="00B94290">
      <w:pPr>
        <w:jc w:val="both"/>
        <w:rPr>
          <w:rFonts w:ascii="Arial" w:eastAsia="Times New Roman" w:hAnsi="Arial"/>
          <w:color w:val="000000"/>
          <w:szCs w:val="24"/>
        </w:rPr>
      </w:pPr>
    </w:p>
    <w:p w14:paraId="33B1D77C" w14:textId="77777777" w:rsidR="00B25413" w:rsidRDefault="006D31FF" w:rsidP="00070665">
      <w:pPr>
        <w:numPr>
          <w:ilvl w:val="0"/>
          <w:numId w:val="8"/>
        </w:numPr>
        <w:jc w:val="both"/>
        <w:rPr>
          <w:rFonts w:ascii="Arial" w:eastAsia="Times New Roman" w:hAnsi="Arial"/>
          <w:color w:val="000000"/>
          <w:szCs w:val="24"/>
        </w:rPr>
      </w:pPr>
      <w:r>
        <w:rPr>
          <w:rFonts w:ascii="Arial" w:eastAsia="Times New Roman" w:hAnsi="Arial"/>
          <w:color w:val="000000"/>
          <w:szCs w:val="24"/>
        </w:rPr>
        <w:t xml:space="preserve">Note de cadrage </w:t>
      </w:r>
      <w:r w:rsidR="00B25413" w:rsidRPr="00B25413">
        <w:rPr>
          <w:rFonts w:ascii="Arial" w:eastAsia="Times New Roman" w:hAnsi="Arial"/>
          <w:color w:val="000000"/>
          <w:szCs w:val="24"/>
        </w:rPr>
        <w:t xml:space="preserve">: approche proposée, méthode, </w:t>
      </w:r>
      <w:r w:rsidR="00313733">
        <w:rPr>
          <w:rFonts w:ascii="Arial" w:eastAsia="Times New Roman" w:hAnsi="Arial"/>
          <w:color w:val="000000"/>
          <w:szCs w:val="24"/>
        </w:rPr>
        <w:t>challenge du projet d’agenda</w:t>
      </w:r>
      <w:r w:rsidR="00B25413" w:rsidRPr="00B25413">
        <w:rPr>
          <w:rFonts w:ascii="Arial" w:eastAsia="Times New Roman" w:hAnsi="Arial"/>
          <w:color w:val="000000"/>
          <w:szCs w:val="24"/>
        </w:rPr>
        <w:t>, exemples d’animation envisagées, points d’attention</w:t>
      </w:r>
    </w:p>
    <w:p w14:paraId="48A476B4" w14:textId="77777777" w:rsidR="00B25413" w:rsidRPr="00B25413" w:rsidRDefault="00B25413" w:rsidP="00070665">
      <w:pPr>
        <w:numPr>
          <w:ilvl w:val="0"/>
          <w:numId w:val="7"/>
        </w:num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  <w:r w:rsidRPr="00B25413">
        <w:rPr>
          <w:rFonts w:ascii="Arial" w:eastAsia="Times New Roman" w:hAnsi="Arial"/>
          <w:color w:val="000000"/>
          <w:szCs w:val="24"/>
        </w:rPr>
        <w:t>Retour d’expérience sur des événements similaires déjà réalisé</w:t>
      </w:r>
      <w:r w:rsidR="00320A9B">
        <w:rPr>
          <w:rFonts w:ascii="Arial" w:eastAsia="Times New Roman" w:hAnsi="Arial"/>
          <w:color w:val="000000"/>
          <w:szCs w:val="24"/>
        </w:rPr>
        <w:t>s</w:t>
      </w:r>
    </w:p>
    <w:p w14:paraId="686ABC3E" w14:textId="77777777" w:rsidR="00B25413" w:rsidRPr="00B25413" w:rsidRDefault="00B25413" w:rsidP="00070665">
      <w:pPr>
        <w:numPr>
          <w:ilvl w:val="0"/>
          <w:numId w:val="7"/>
        </w:num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  <w:r w:rsidRPr="00B25413">
        <w:rPr>
          <w:rFonts w:ascii="Arial" w:eastAsia="Times New Roman" w:hAnsi="Arial"/>
          <w:color w:val="000000"/>
          <w:szCs w:val="24"/>
        </w:rPr>
        <w:t>Profils mobilisables et compétences</w:t>
      </w:r>
    </w:p>
    <w:p w14:paraId="61C48318" w14:textId="77777777" w:rsidR="00B25413" w:rsidRPr="00B25413" w:rsidRDefault="00B25413" w:rsidP="00070665">
      <w:pPr>
        <w:numPr>
          <w:ilvl w:val="0"/>
          <w:numId w:val="7"/>
        </w:num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  <w:r w:rsidRPr="00B25413">
        <w:rPr>
          <w:rFonts w:ascii="Arial" w:eastAsia="Times New Roman" w:hAnsi="Arial"/>
          <w:color w:val="000000"/>
          <w:szCs w:val="24"/>
        </w:rPr>
        <w:lastRenderedPageBreak/>
        <w:t>Partenaires</w:t>
      </w:r>
      <w:r w:rsidR="00313733">
        <w:rPr>
          <w:rFonts w:ascii="Arial" w:eastAsia="Times New Roman" w:hAnsi="Arial"/>
          <w:color w:val="000000"/>
          <w:szCs w:val="24"/>
        </w:rPr>
        <w:t>/prestataires</w:t>
      </w:r>
      <w:r w:rsidRPr="00B25413">
        <w:rPr>
          <w:rFonts w:ascii="Arial" w:eastAsia="Times New Roman" w:hAnsi="Arial"/>
          <w:color w:val="000000"/>
          <w:szCs w:val="24"/>
        </w:rPr>
        <w:t xml:space="preserve"> éventuels</w:t>
      </w:r>
    </w:p>
    <w:p w14:paraId="4AE61120" w14:textId="77777777" w:rsidR="00B25413" w:rsidRPr="00B25413" w:rsidRDefault="00B25413" w:rsidP="00070665">
      <w:pPr>
        <w:jc w:val="both"/>
        <w:rPr>
          <w:rFonts w:ascii="Arial" w:hAnsi="Arial"/>
          <w:b/>
          <w:szCs w:val="24"/>
        </w:rPr>
      </w:pPr>
    </w:p>
    <w:p w14:paraId="772BD78E" w14:textId="77777777" w:rsidR="00D943FF" w:rsidRPr="00B25413" w:rsidRDefault="007F72B9" w:rsidP="00070665">
      <w:pPr>
        <w:jc w:val="both"/>
        <w:rPr>
          <w:rFonts w:ascii="Arial" w:hAnsi="Arial"/>
          <w:b/>
          <w:szCs w:val="24"/>
        </w:rPr>
      </w:pPr>
      <w:r w:rsidRPr="00B25413">
        <w:rPr>
          <w:rFonts w:ascii="Arial" w:hAnsi="Arial"/>
          <w:b/>
          <w:szCs w:val="24"/>
        </w:rPr>
        <w:t>******************************************************</w:t>
      </w:r>
    </w:p>
    <w:p w14:paraId="67F9681B" w14:textId="77777777" w:rsidR="006D31FF" w:rsidRDefault="006D31FF" w:rsidP="00070665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Annexes</w:t>
      </w:r>
      <w:r w:rsidR="008F4108">
        <w:rPr>
          <w:rFonts w:ascii="Arial" w:hAnsi="Arial"/>
          <w:b/>
          <w:sz w:val="28"/>
        </w:rPr>
        <w:t xml:space="preserve"> et infos pratiques</w:t>
      </w:r>
      <w:r>
        <w:rPr>
          <w:rFonts w:ascii="Arial" w:hAnsi="Arial"/>
          <w:b/>
          <w:sz w:val="28"/>
        </w:rPr>
        <w:t> :</w:t>
      </w:r>
    </w:p>
    <w:p w14:paraId="661BC805" w14:textId="77777777" w:rsidR="006D31FF" w:rsidRDefault="006D31FF" w:rsidP="00070665">
      <w:pPr>
        <w:jc w:val="both"/>
        <w:rPr>
          <w:rFonts w:ascii="Arial" w:hAnsi="Arial"/>
          <w:b/>
          <w:sz w:val="28"/>
        </w:rPr>
      </w:pPr>
    </w:p>
    <w:p w14:paraId="52D55D74" w14:textId="77777777" w:rsidR="00070665" w:rsidRDefault="00070665" w:rsidP="00070665">
      <w:pPr>
        <w:numPr>
          <w:ilvl w:val="0"/>
          <w:numId w:val="7"/>
        </w:num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  <w:r>
        <w:rPr>
          <w:rFonts w:ascii="Arial" w:eastAsia="Times New Roman" w:hAnsi="Arial"/>
          <w:color w:val="000000"/>
          <w:szCs w:val="24"/>
        </w:rPr>
        <w:t>Format de l’événement :</w:t>
      </w:r>
    </w:p>
    <w:p w14:paraId="5E6F0BB9" w14:textId="77777777" w:rsidR="00DC3337" w:rsidRDefault="00000000" w:rsidP="00DC3337">
      <w:p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  <w:r>
        <w:rPr>
          <w:noProof/>
        </w:rPr>
        <w:pict w14:anchorId="2CD10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471.5pt;height:261pt;visibility:visible">
            <v:imagedata r:id="rId10" o:title=""/>
          </v:shape>
        </w:pict>
      </w:r>
    </w:p>
    <w:p w14:paraId="65219737" w14:textId="77777777" w:rsidR="00DC3337" w:rsidRDefault="00DC3337" w:rsidP="00DC3337">
      <w:p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</w:p>
    <w:p w14:paraId="54B2FF1B" w14:textId="77777777" w:rsidR="00DC3337" w:rsidRDefault="00DC3337" w:rsidP="00DC3337">
      <w:p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</w:p>
    <w:p w14:paraId="71F19EC0" w14:textId="77777777" w:rsidR="008F4108" w:rsidRPr="008F4108" w:rsidRDefault="008F4108" w:rsidP="00070665">
      <w:pPr>
        <w:numPr>
          <w:ilvl w:val="0"/>
          <w:numId w:val="7"/>
        </w:numPr>
        <w:shd w:val="clear" w:color="auto" w:fill="FFFFFF"/>
        <w:spacing w:after="150"/>
        <w:jc w:val="both"/>
        <w:rPr>
          <w:rFonts w:ascii="Arial" w:eastAsia="Times New Roman" w:hAnsi="Arial"/>
          <w:color w:val="000000"/>
          <w:szCs w:val="24"/>
        </w:rPr>
      </w:pPr>
      <w:r w:rsidRPr="008F4108">
        <w:rPr>
          <w:rFonts w:ascii="Arial" w:eastAsia="Times New Roman" w:hAnsi="Arial"/>
          <w:color w:val="000000"/>
          <w:szCs w:val="24"/>
        </w:rPr>
        <w:t xml:space="preserve">La </w:t>
      </w:r>
      <w:r w:rsidRPr="008F4108">
        <w:rPr>
          <w:rFonts w:ascii="Arial" w:eastAsia="Times New Roman" w:hAnsi="Arial"/>
          <w:b/>
          <w:color w:val="000000"/>
          <w:szCs w:val="24"/>
        </w:rPr>
        <w:t>langue de travail est l</w:t>
      </w:r>
      <w:r w:rsidR="00DC3337">
        <w:rPr>
          <w:rFonts w:ascii="Arial" w:eastAsia="Times New Roman" w:hAnsi="Arial"/>
          <w:b/>
          <w:color w:val="000000"/>
          <w:szCs w:val="24"/>
        </w:rPr>
        <w:t>e français (l’événement est destiné à des publics français)</w:t>
      </w:r>
    </w:p>
    <w:p w14:paraId="5D6413D3" w14:textId="3C551318" w:rsidR="00D943FF" w:rsidRPr="008F4108" w:rsidRDefault="006D31FF" w:rsidP="00070665">
      <w:pPr>
        <w:numPr>
          <w:ilvl w:val="0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Enveloppe budgétaire pour la prestation</w:t>
      </w:r>
      <w:r w:rsidR="008F4108">
        <w:rPr>
          <w:rFonts w:ascii="Arial" w:eastAsia="Times New Roman" w:hAnsi="Arial"/>
          <w:color w:val="000000"/>
          <w:szCs w:val="24"/>
        </w:rPr>
        <w:t xml:space="preserve"> : </w:t>
      </w:r>
      <w:r w:rsidR="00490116">
        <w:rPr>
          <w:rFonts w:ascii="Arial" w:eastAsia="Times New Roman" w:hAnsi="Arial"/>
          <w:color w:val="000000"/>
          <w:szCs w:val="24"/>
        </w:rPr>
        <w:t>1</w:t>
      </w:r>
      <w:r w:rsidR="00490116">
        <w:rPr>
          <w:rFonts w:ascii="Arial" w:eastAsia="Times New Roman" w:hAnsi="Arial"/>
          <w:szCs w:val="24"/>
        </w:rPr>
        <w:t>0</w:t>
      </w:r>
      <w:r w:rsidR="00DC3337">
        <w:rPr>
          <w:rFonts w:ascii="Arial" w:eastAsia="Times New Roman" w:hAnsi="Arial"/>
          <w:szCs w:val="24"/>
        </w:rPr>
        <w:t>0 000 euros</w:t>
      </w:r>
    </w:p>
    <w:p w14:paraId="63596B07" w14:textId="77777777" w:rsidR="00313733" w:rsidRPr="00313733" w:rsidRDefault="00313733" w:rsidP="00070665">
      <w:pPr>
        <w:ind w:left="1440"/>
        <w:jc w:val="both"/>
        <w:rPr>
          <w:szCs w:val="24"/>
        </w:rPr>
      </w:pPr>
    </w:p>
    <w:p w14:paraId="786BE287" w14:textId="77777777" w:rsidR="00313733" w:rsidRPr="00313733" w:rsidRDefault="00313733" w:rsidP="00070665">
      <w:pPr>
        <w:numPr>
          <w:ilvl w:val="0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 xml:space="preserve">Equipe projet </w:t>
      </w:r>
      <w:r w:rsidR="00DC3337">
        <w:rPr>
          <w:rFonts w:ascii="Arial" w:eastAsia="Times New Roman" w:hAnsi="Arial"/>
          <w:color w:val="000000"/>
          <w:szCs w:val="24"/>
        </w:rPr>
        <w:t>BPCE</w:t>
      </w:r>
    </w:p>
    <w:p w14:paraId="5DDE3FF7" w14:textId="77777777" w:rsidR="00313733" w:rsidRPr="00313733" w:rsidRDefault="00313733" w:rsidP="00070665">
      <w:pPr>
        <w:numPr>
          <w:ilvl w:val="1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Communication</w:t>
      </w:r>
    </w:p>
    <w:p w14:paraId="3248C85D" w14:textId="77777777" w:rsidR="00313733" w:rsidRPr="00DC3337" w:rsidRDefault="00DC3337" w:rsidP="00070665">
      <w:pPr>
        <w:numPr>
          <w:ilvl w:val="2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lastRenderedPageBreak/>
        <w:t>Coba Taillefer</w:t>
      </w:r>
    </w:p>
    <w:p w14:paraId="2D3B6543" w14:textId="77777777" w:rsidR="00DC3337" w:rsidRPr="00DC3337" w:rsidRDefault="00DC3337" w:rsidP="00070665">
      <w:pPr>
        <w:numPr>
          <w:ilvl w:val="2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Madisson Calixte</w:t>
      </w:r>
    </w:p>
    <w:p w14:paraId="5AA88E22" w14:textId="77777777" w:rsidR="00DC3337" w:rsidRPr="00DC3337" w:rsidRDefault="00DC3337" w:rsidP="00070665">
      <w:pPr>
        <w:numPr>
          <w:ilvl w:val="2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Nadia Akkari</w:t>
      </w:r>
    </w:p>
    <w:p w14:paraId="0F61A38B" w14:textId="77777777" w:rsidR="00DC3337" w:rsidRPr="00313733" w:rsidRDefault="00DC3337" w:rsidP="00DC3337">
      <w:pPr>
        <w:numPr>
          <w:ilvl w:val="1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Data</w:t>
      </w:r>
    </w:p>
    <w:p w14:paraId="2FCBC245" w14:textId="77777777" w:rsidR="00DC3337" w:rsidRPr="00DC3337" w:rsidRDefault="00DC3337" w:rsidP="00DC3337">
      <w:pPr>
        <w:numPr>
          <w:ilvl w:val="2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Caroline Richard</w:t>
      </w:r>
    </w:p>
    <w:p w14:paraId="36E8A270" w14:textId="77777777" w:rsidR="00DC3337" w:rsidRPr="00DC3337" w:rsidRDefault="00DC3337" w:rsidP="00DC3337">
      <w:pPr>
        <w:numPr>
          <w:ilvl w:val="2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Pierre-Philippe Cormeraie</w:t>
      </w:r>
    </w:p>
    <w:p w14:paraId="15AC8692" w14:textId="77777777" w:rsidR="00DC3337" w:rsidRPr="00DC3337" w:rsidRDefault="00DC3337" w:rsidP="00DC3337">
      <w:pPr>
        <w:numPr>
          <w:ilvl w:val="2"/>
          <w:numId w:val="7"/>
        </w:numPr>
        <w:jc w:val="both"/>
        <w:rPr>
          <w:szCs w:val="24"/>
        </w:rPr>
      </w:pPr>
      <w:r>
        <w:rPr>
          <w:rFonts w:ascii="Arial" w:eastAsia="Times New Roman" w:hAnsi="Arial"/>
          <w:color w:val="000000"/>
          <w:szCs w:val="24"/>
        </w:rPr>
        <w:t>Ariane Attali</w:t>
      </w:r>
    </w:p>
    <w:p w14:paraId="16B34763" w14:textId="77777777" w:rsidR="00DC3337" w:rsidRPr="00FB7148" w:rsidRDefault="00DC3337" w:rsidP="00DC3337">
      <w:pPr>
        <w:jc w:val="both"/>
        <w:rPr>
          <w:szCs w:val="24"/>
        </w:rPr>
      </w:pPr>
    </w:p>
    <w:p w14:paraId="76C66B37" w14:textId="77777777" w:rsidR="00313733" w:rsidRPr="00313733" w:rsidRDefault="00313733" w:rsidP="00070665">
      <w:pPr>
        <w:ind w:left="1800"/>
        <w:jc w:val="both"/>
        <w:rPr>
          <w:szCs w:val="24"/>
        </w:rPr>
      </w:pPr>
    </w:p>
    <w:p w14:paraId="350C1D69" w14:textId="77777777" w:rsidR="00313733" w:rsidRPr="00B25413" w:rsidRDefault="00313733" w:rsidP="00070665">
      <w:pPr>
        <w:jc w:val="both"/>
        <w:rPr>
          <w:szCs w:val="24"/>
        </w:rPr>
      </w:pPr>
    </w:p>
    <w:sectPr w:rsidR="00313733" w:rsidRPr="00B25413" w:rsidSect="00DC3337">
      <w:footerReference w:type="default" r:id="rId11"/>
      <w:pgSz w:w="15840" w:h="12240" w:orient="landscape"/>
      <w:pgMar w:top="1134" w:right="1417" w:bottom="1135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BF17" w14:textId="77777777" w:rsidR="008F3EF1" w:rsidRDefault="008F3EF1" w:rsidP="00F94C29">
      <w:r>
        <w:separator/>
      </w:r>
    </w:p>
  </w:endnote>
  <w:endnote w:type="continuationSeparator" w:id="0">
    <w:p w14:paraId="546250CE" w14:textId="77777777" w:rsidR="008F3EF1" w:rsidRDefault="008F3EF1" w:rsidP="00F9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DA1" w14:textId="77777777" w:rsidR="00F94C29" w:rsidRDefault="00000000">
    <w:pPr>
      <w:pStyle w:val="Pieddepage"/>
    </w:pPr>
    <w:r>
      <w:rPr>
        <w:noProof/>
      </w:rPr>
      <w:pict w14:anchorId="7E55C896">
        <v:shapetype id="_x0000_t202" coordsize="21600,21600" o:spt="202" path="m,l,21600r21600,l21600,xe">
          <v:stroke joinstyle="miter"/>
          <v:path gradientshapeok="t" o:connecttype="rect"/>
        </v:shapetype>
        <v:shape id="MSIPCMae62412b9f597455dc00bb09" o:spid="_x0000_s1025" type="#_x0000_t202" alt="{&quot;HashCode&quot;:1644228579,&quot;Height&quot;:612.0,&quot;Width&quot;:792.0,&quot;Placement&quot;:&quot;Footer&quot;,&quot;Index&quot;:&quot;Primary&quot;,&quot;Section&quot;:1,&quot;Top&quot;:0.0,&quot;Left&quot;:0.0}" style="position:absolute;margin-left:0;margin-top:8in;width:11in;height:21pt;z-index:1;mso-position-horizontal-relative:page;mso-position-vertical-relative:page;v-text-anchor:bottom" o:allowincell="f" filled="f" stroked="f">
          <v:textbox style="mso-next-textbox:#MSIPCMae62412b9f597455dc00bb09" inset="20pt,0,,0">
            <w:txbxContent>
              <w:p w14:paraId="3BFD2205" w14:textId="77777777" w:rsidR="00F94C29" w:rsidRPr="00F94C29" w:rsidRDefault="00F94C29" w:rsidP="00F94C29">
                <w:pPr>
                  <w:rPr>
                    <w:rFonts w:ascii="Calibri" w:hAnsi="Calibri" w:cs="Calibri"/>
                    <w:color w:val="FFFFFF"/>
                    <w:sz w:val="2"/>
                  </w:rPr>
                </w:pPr>
                <w:r w:rsidRPr="00F94C29">
                  <w:rPr>
                    <w:rFonts w:ascii="Calibri" w:hAnsi="Calibri" w:cs="Calibri"/>
                    <w:color w:val="FFFFFF"/>
                    <w:sz w:val="2"/>
                  </w:rPr>
                  <w:t>C1 - Public Natixis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FEBF" w14:textId="77777777" w:rsidR="008F3EF1" w:rsidRDefault="008F3EF1" w:rsidP="00F94C29">
      <w:r>
        <w:separator/>
      </w:r>
    </w:p>
  </w:footnote>
  <w:footnote w:type="continuationSeparator" w:id="0">
    <w:p w14:paraId="788403EA" w14:textId="77777777" w:rsidR="008F3EF1" w:rsidRDefault="008F3EF1" w:rsidP="00F9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57A"/>
    <w:multiLevelType w:val="hybridMultilevel"/>
    <w:tmpl w:val="C428E30A"/>
    <w:lvl w:ilvl="0" w:tplc="181AEC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3817"/>
    <w:multiLevelType w:val="hybridMultilevel"/>
    <w:tmpl w:val="2EBE9AF6"/>
    <w:lvl w:ilvl="0" w:tplc="4E044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8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4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8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07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C4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A0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CB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834CC8"/>
    <w:multiLevelType w:val="hybridMultilevel"/>
    <w:tmpl w:val="BE9A9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A51A3"/>
    <w:multiLevelType w:val="hybridMultilevel"/>
    <w:tmpl w:val="379022BC"/>
    <w:lvl w:ilvl="0" w:tplc="20FEFF7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72F50"/>
    <w:multiLevelType w:val="hybridMultilevel"/>
    <w:tmpl w:val="9B78E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4458A"/>
    <w:multiLevelType w:val="hybridMultilevel"/>
    <w:tmpl w:val="00D66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5A9B"/>
    <w:multiLevelType w:val="hybridMultilevel"/>
    <w:tmpl w:val="53BE3566"/>
    <w:lvl w:ilvl="0" w:tplc="282AE822">
      <w:numFmt w:val="bullet"/>
      <w:lvlText w:val="-"/>
      <w:lvlJc w:val="left"/>
      <w:pPr>
        <w:ind w:left="720" w:hanging="360"/>
      </w:pPr>
      <w:rPr>
        <w:rFonts w:ascii="Times New Roman" w:eastAsia="Times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84984"/>
    <w:multiLevelType w:val="hybridMultilevel"/>
    <w:tmpl w:val="3FCA7CEC"/>
    <w:lvl w:ilvl="0" w:tplc="CFF6C6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0258"/>
    <w:multiLevelType w:val="hybridMultilevel"/>
    <w:tmpl w:val="386255E2"/>
    <w:lvl w:ilvl="0" w:tplc="00C8B19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D6E1B"/>
    <w:multiLevelType w:val="hybridMultilevel"/>
    <w:tmpl w:val="1CA8D36E"/>
    <w:lvl w:ilvl="0" w:tplc="282AE8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69530">
    <w:abstractNumId w:val="9"/>
  </w:num>
  <w:num w:numId="2" w16cid:durableId="2030790113">
    <w:abstractNumId w:val="3"/>
  </w:num>
  <w:num w:numId="3" w16cid:durableId="897589294">
    <w:abstractNumId w:val="8"/>
  </w:num>
  <w:num w:numId="4" w16cid:durableId="1255745237">
    <w:abstractNumId w:val="7"/>
  </w:num>
  <w:num w:numId="5" w16cid:durableId="1720281529">
    <w:abstractNumId w:val="0"/>
  </w:num>
  <w:num w:numId="6" w16cid:durableId="571891909">
    <w:abstractNumId w:val="4"/>
  </w:num>
  <w:num w:numId="7" w16cid:durableId="545994387">
    <w:abstractNumId w:val="5"/>
  </w:num>
  <w:num w:numId="8" w16cid:durableId="1594389791">
    <w:abstractNumId w:val="2"/>
  </w:num>
  <w:num w:numId="9" w16cid:durableId="1832211759">
    <w:abstractNumId w:val="1"/>
  </w:num>
  <w:num w:numId="10" w16cid:durableId="1052387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043"/>
    <w:rsid w:val="00003A2C"/>
    <w:rsid w:val="00070665"/>
    <w:rsid w:val="000F51D3"/>
    <w:rsid w:val="00234C1C"/>
    <w:rsid w:val="00313733"/>
    <w:rsid w:val="00320A9B"/>
    <w:rsid w:val="003854E4"/>
    <w:rsid w:val="003D5C99"/>
    <w:rsid w:val="0045550B"/>
    <w:rsid w:val="00490116"/>
    <w:rsid w:val="006D31FF"/>
    <w:rsid w:val="007B4EE5"/>
    <w:rsid w:val="007B72FA"/>
    <w:rsid w:val="007F72B9"/>
    <w:rsid w:val="008140F5"/>
    <w:rsid w:val="008A20D7"/>
    <w:rsid w:val="008F3EF1"/>
    <w:rsid w:val="008F4108"/>
    <w:rsid w:val="008F4EF0"/>
    <w:rsid w:val="0094202E"/>
    <w:rsid w:val="00951119"/>
    <w:rsid w:val="00A153F5"/>
    <w:rsid w:val="00AB3C3B"/>
    <w:rsid w:val="00B25413"/>
    <w:rsid w:val="00B94290"/>
    <w:rsid w:val="00BD218C"/>
    <w:rsid w:val="00C11442"/>
    <w:rsid w:val="00C11BCE"/>
    <w:rsid w:val="00C50C01"/>
    <w:rsid w:val="00C6254C"/>
    <w:rsid w:val="00D943FF"/>
    <w:rsid w:val="00DA418E"/>
    <w:rsid w:val="00DC3337"/>
    <w:rsid w:val="00EF0D4D"/>
    <w:rsid w:val="00F65043"/>
    <w:rsid w:val="00F94C29"/>
    <w:rsid w:val="00FB7148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D2A0DD9"/>
  <w15:chartTrackingRefBased/>
  <w15:docId w15:val="{B143E3DD-A0B2-4C40-9CEF-307CC861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ind w:left="360"/>
      <w:jc w:val="center"/>
      <w:outlineLvl w:val="1"/>
    </w:pPr>
    <w:rPr>
      <w:rFonts w:ascii="Arial" w:hAnsi="Arial"/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D218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94C29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uiPriority w:val="99"/>
    <w:rsid w:val="00F94C2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94C29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uiPriority w:val="99"/>
    <w:rsid w:val="00F94C29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B25413"/>
    <w:pPr>
      <w:ind w:left="720"/>
      <w:contextualSpacing/>
      <w:jc w:val="both"/>
    </w:pPr>
    <w:rPr>
      <w:rFonts w:ascii="Verdana" w:eastAsia="Calibri" w:hAnsi="Verdana" w:cs="Arial"/>
      <w:sz w:val="20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B25413"/>
    <w:rPr>
      <w:rFonts w:ascii="Verdana" w:eastAsia="Calibri" w:hAnsi="Verdana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37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89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1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68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AA3DF2F810845A74749E119EF756A" ma:contentTypeVersion="3" ma:contentTypeDescription="Create a new document." ma:contentTypeScope="" ma:versionID="cc29cd8d0d797cf72f4f3a8afb3a2f65">
  <xsd:schema xmlns:xsd="http://www.w3.org/2001/XMLSchema" xmlns:xs="http://www.w3.org/2001/XMLSchema" xmlns:p="http://schemas.microsoft.com/office/2006/metadata/properties" xmlns:ns2="f5cc8b06-4582-4341-97d6-16039d307618" targetNamespace="http://schemas.microsoft.com/office/2006/metadata/properties" ma:root="true" ma:fieldsID="e830e3320be3af096f0c3d19e932ac0f" ns2:_="">
    <xsd:import namespace="f5cc8b06-4582-4341-97d6-16039d3076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c8b06-4582-4341-97d6-16039d307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326A8-CFCA-48D8-A7BF-52A74216B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C4F2D-D608-4699-9DCD-FA5678DE5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CDC65-C3C3-460F-9925-3625C1D82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NATIXIS : un mécène engagé</vt:lpstr>
    </vt:vector>
  </TitlesOfParts>
  <Company>cieldeparis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NATIXIS : un mécène engagé</dc:title>
  <dc:subject/>
  <dc:creator>Cake cieldeparis</dc:creator>
  <cp:keywords/>
  <cp:lastModifiedBy>Akkari Nadia</cp:lastModifiedBy>
  <cp:revision>4</cp:revision>
  <dcterms:created xsi:type="dcterms:W3CDTF">2023-05-22T13:38:00Z</dcterms:created>
  <dcterms:modified xsi:type="dcterms:W3CDTF">2023-05-23T13:49:00Z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83a6fe-0b6e-4399-9d09-a1c8d8d5000c_Enabled">
    <vt:lpwstr>true</vt:lpwstr>
  </property>
  <property fmtid="{D5CDD505-2E9C-101B-9397-08002B2CF9AE}" pid="3" name="MSIP_Label_6e83a6fe-0b6e-4399-9d09-a1c8d8d5000c_SetDate">
    <vt:lpwstr>2023-05-22T13:37:58Z</vt:lpwstr>
  </property>
  <property fmtid="{D5CDD505-2E9C-101B-9397-08002B2CF9AE}" pid="4" name="MSIP_Label_6e83a6fe-0b6e-4399-9d09-a1c8d8d5000c_Method">
    <vt:lpwstr>Privileged</vt:lpwstr>
  </property>
  <property fmtid="{D5CDD505-2E9C-101B-9397-08002B2CF9AE}" pid="5" name="MSIP_Label_6e83a6fe-0b6e-4399-9d09-a1c8d8d5000c_Name">
    <vt:lpwstr>6e83a6fe-0b6e-4399-9d09-a1c8d8d5000c</vt:lpwstr>
  </property>
  <property fmtid="{D5CDD505-2E9C-101B-9397-08002B2CF9AE}" pid="6" name="MSIP_Label_6e83a6fe-0b6e-4399-9d09-a1c8d8d5000c_SiteId">
    <vt:lpwstr>d5bb6d35-8a82-4329-b49a-5030bd6497ab</vt:lpwstr>
  </property>
  <property fmtid="{D5CDD505-2E9C-101B-9397-08002B2CF9AE}" pid="7" name="MSIP_Label_6e83a6fe-0b6e-4399-9d09-a1c8d8d5000c_ActionId">
    <vt:lpwstr>8840fe95-d1b0-49bb-83a4-c82e6c35d0e7</vt:lpwstr>
  </property>
  <property fmtid="{D5CDD505-2E9C-101B-9397-08002B2CF9AE}" pid="8" name="MSIP_Label_6e83a6fe-0b6e-4399-9d09-a1c8d8d5000c_ContentBits">
    <vt:lpwstr>2</vt:lpwstr>
  </property>
  <property fmtid="{D5CDD505-2E9C-101B-9397-08002B2CF9AE}" pid="9" name="ContentTypeId">
    <vt:lpwstr>0x0101008D7AA3DF2F810845A74749E119EF756A</vt:lpwstr>
  </property>
</Properties>
</file>