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la hora de introducir el correo electrónico debe acabar con el dominio(@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proven.cat</w:t>
        </w:r>
      </w:hyperlink>
      <w:r w:rsidDel="00000000" w:rsidR="00000000" w:rsidRPr="00000000">
        <w:rPr>
          <w:rtl w:val="0"/>
        </w:rPr>
        <w:t xml:space="preserve">), si es correcto, pedir la contraseña, de lo contrario se debe de mostrar un mensaje de correo no válido y volver a pedirlo.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mismo proceso con la contraseña, si es correcta mostrar mensaje “Iniciando sesión….”, sino otro mensaje “Contraseña incorrecta” y volver a pedirla con un máximo de 3 intentos.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 paso los 3 mensaje “Usuario bloqueado”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1.- Mostrar “Introduce tu correo electronico: 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2.- Recibir correo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Dominio(@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proven.cat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“Introduce la contraseña”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mostrar”Correo incorrecto”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3.- Recibir “Contraseña”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4.-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29"/>
        <w:gridCol w:w="2250"/>
        <w:gridCol w:w="2250"/>
        <w:tblGridChange w:id="0">
          <w:tblGrid>
            <w:gridCol w:w="4529"/>
            <w:gridCol w:w="2250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Contraseña correcta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mostrar el mensaje “Iniciando sesión….”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mensaje “Contraseña incorrecta”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intentos &gt;3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mensaje “Usuario bloqueado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seguir pidiendo contraseña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roven.cat" TargetMode="External"/><Relationship Id="rId7" Type="http://schemas.openxmlformats.org/officeDocument/2006/relationships/hyperlink" Target="http://proven.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