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Noto Sans CJK KR" w:hAnsi="Noto Sans CJK KR" w:eastAsia="Noto Sans CJK KR" w:cs="Noto Sans CJK KR"/>
          <w:b/>
          <w:color w:val="153A51"/>
          <w:sz w:val="44"/>
          <w:lang w:eastAsia="ko-KR"/>
        </w:rPr>
        <w:t>1:N 얼굴 인증 시스템</w:t>
        <w:br/>
        <w:t>시스템 디자인</w:t>
      </w:r>
    </w:p>
    <w:p>
      <w:pPr>
        <w:spacing w:after="160"/>
      </w:pPr>
      <w:r>
        <w:rPr>
          <w:rFonts w:ascii="Noto Sans CJK KR" w:hAnsi="Noto Sans CJK KR" w:eastAsia="Noto Sans CJK KR" w:cs="Noto Sans CJK KR"/>
          <w:b w:val="0"/>
          <w:color w:val="52616B"/>
          <w:sz w:val="18"/>
          <w:lang w:eastAsia="ko-KR"/>
        </w:rPr>
        <w:t>RGB · Depth · IR  |  중앙 GPU 기반 고정밀 처리  |  검토용 초안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EDF4F6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53A51"/>
                <w:sz w:val="20"/>
                <w:lang w:eastAsia="ko-KR"/>
              </w:rPr>
              <w:t>설계 기준: 등록 고객 100만 명 · 기본 4개 템플릿/명 · 피크 100 인증 세션/초. 대형 인식·PAD 모델은 중앙 GPU에 배치하고, 단말은 실시간 등록 안내와 신뢰 가능한 촬영을 담당한다.</w:t>
            </w:r>
          </w:p>
        </w:tc>
      </w:tr>
    </w:tbl>
    <w:p>
      <w:pPr>
        <w:pStyle w:val="Heading1"/>
      </w:pPr>
      <w:r>
        <w:t>1. 논리 구성 및 처리 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1531"/>
        <w:gridCol w:w="4592"/>
        <w:gridCol w:w="3742"/>
      </w:tblGrid>
      <w:tr>
        <w:trPr>
          <w:tblHeader/>
        </w:trPr>
        <w:tc>
          <w:tcPr>
            <w:tcW w:type="dxa" w:w="1531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  <w:lang w:eastAsia="ko-KR"/>
              </w:rPr>
              <w:t>계층</w:t>
            </w:r>
          </w:p>
        </w:tc>
        <w:tc>
          <w:tcPr>
            <w:tcW w:type="dxa" w:w="4592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  <w:lang w:eastAsia="ko-KR"/>
              </w:rPr>
              <w:t>담당 기능</w:t>
            </w:r>
          </w:p>
        </w:tc>
        <w:tc>
          <w:tcPr>
            <w:tcW w:type="dxa" w:w="3742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  <w:lang w:eastAsia="ko-KR"/>
              </w:rPr>
              <w:t>기준 구성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센서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RGB·Depth·IR 시퀀스 수집, 노출·동기화·보정 확인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Gemini 336 평가용 / 양산 보안 모듈 별도 선정 [6]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전용 단말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얼굴 추적, 회전 UI, 품질 확인, 동기화된 프레임 묶음 전송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SCRFD-34G + 6DRepNet360 + FaRL 448px [1][2][3]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중앙 GPU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촬영 품질 재확인, 3센서 PAD, 얼굴 특징 추출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ViT-L / WebFace42M 우선 후보. KP-RPE ViT-B와 경쟁 [4][5]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식별·승인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1:N 검색 → 고객별 점수 통합 → 계정·권한 확인 → 승인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FAISS 정확 검색 + 별도 인증 정책 서비스 [7]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9"/>
                <w:lang w:eastAsia="ko-KR"/>
              </w:rPr>
              <w:t>저장·운영</w:t>
            </w:r>
          </w:p>
        </w:tc>
        <w:tc>
          <w:tcPr>
            <w:tcW w:type="dxa" w:w="459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템플릿·동의·버전·계정 상태, 감사·키 관리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9"/>
                <w:lang w:eastAsia="ko-KR"/>
              </w:rPr>
              <w:t>PostgreSQL + 암호화 저장소 / 키 관리 서비스 분리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9"/>
          <w:lang w:eastAsia="ko-KR"/>
        </w:rPr>
        <w:t>주 식별기는 RGB를 사용하고 Depth·IR은 PAD에 결합한다. 단말 → 서버는 mTLS로 보호하며, 서버가 선택된 3센서 원본 시퀀스를 메모리에서 재검증한다. 원본은 기본적으로 디스크에 저장하지 않고 세션 종료 시 폐기한다.</w:t>
      </w:r>
    </w:p>
    <w:p>
      <w:pPr>
        <w:pStyle w:val="Heading1"/>
      </w:pPr>
      <w:r>
        <w:t>2. 등록 흐름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20"/>
          <w:lang w:eastAsia="ko-KR"/>
        </w:rPr>
        <w:t>계정 소유 확인·동의 → 등록 세션/일회성 challenge 발급 → 정면 및 주변 8방향 안내 → 방향별 품질·동일인·PAD 확인 → 대표 템플릿 생성 → 중복 등록 검토 → 저장·인덱스 반영.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9"/>
          <w:lang w:eastAsia="ko-KR"/>
        </w:rPr>
        <w:t>초기 각도는 좌우 약 ±25°, 상하 약 ±15°로 시험한다. 좋은 프레임으로 기본 4개 템플릿을 구성하며, 방향·시간·개수는 현장 검증 후 고정한다. 중복 후보만으로 계정을 자동 병합하지 않는다.</w:t>
      </w:r>
    </w:p>
    <w:p>
      <w:pPr>
        <w:pStyle w:val="Heading1"/>
      </w:pPr>
      <w:r>
        <w:t>3. 인증 흐름 및 판정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20"/>
          <w:lang w:eastAsia="ko-KR"/>
        </w:rPr>
        <w:t>인증 세션 발급 → 짧은 동기화 시퀀스 촬영 → 장치·세션·센서 품질 검증 → RGB·Depth·IR PAD → 정렬·특징 추출 → 1:N 식별 → 최종 권한 확인 → 해당 단말·행위에 한정된 단기 승인 발급.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6"/>
            <w:shd w:fill="EDF4F6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53A51"/>
                <w:sz w:val="20"/>
                <w:lang w:eastAsia="ko-KR"/>
              </w:rPr>
              <w:t>승인 = 유효한 장치·세션 AND 촬영 품질 AND PAD 통과 AND 얼굴 식별 통과 AND 계정·권한 유효. PAD 실패를 높은 얼굴 유사도로 상쇄하지 않으며, Top-1이라는 이유만으로 승인하지 않는다.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8"/>
          <w:lang w:eastAsia="ko-KR"/>
        </w:rPr>
        <w:t>미등록·모호한 결과·센서 누락은 거절 또는 별도 인증으로 전환한다. 초기에는 단말·세션별 재시도를 제한하고, 고위험 업무는 고객 소유 인증 수단으로 추가 확인한다. 얼굴 단독 흐름을 다중요소 인증으로 표시하지 않는다. [8]</w:t>
      </w:r>
    </w:p>
    <w:p>
      <w:r>
        <w:br w:type="page"/>
      </w:r>
    </w:p>
    <w:p>
      <w:pPr>
        <w:spacing w:after="60"/>
      </w:pPr>
      <w:r>
        <w:rPr>
          <w:rFonts w:ascii="Noto Sans CJK KR" w:hAnsi="Noto Sans CJK KR" w:eastAsia="Noto Sans CJK KR" w:cs="Noto Sans CJK KR"/>
          <w:b/>
          <w:color w:val="153A51"/>
          <w:sz w:val="31"/>
          <w:lang w:eastAsia="ko-KR"/>
        </w:rPr>
        <w:t>데이터 · 인터페이스 · 배포 및 보안</w:t>
      </w:r>
    </w:p>
    <w:p>
      <w:pPr>
        <w:pStyle w:val="Heading1"/>
      </w:pPr>
      <w:r>
        <w:t>4. 모델·검색 설계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9"/>
          <w:lang w:eastAsia="ko-KR"/>
        </w:rPr>
        <w:t>ViT-L은 정확한 가중치 확보와 상용 권리 확인 후 채택한다. KP-RPE는 공식 키포인트 입력·정렬 경로를 재현해 비교한다. FaRL의 정밀 랜드마크를 인식 정렬에 적용할 때는 최종 1:N 성능을 다시 검증한다. [3][4][5]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9"/>
          <w:lang w:eastAsia="ko-KR"/>
        </w:rPr>
        <w:t>기준 검색은 정규화 벡터의 FAISS IndexFlatIP 전수 검색이다. 고객별 여러 등록·인증 프레임의 점수 통합 방식과 절대 임계값을 검증셋에서 고정한다. 근사 검색은 초기 비활성화하며, 도입 시 후보 누락·FPIR·FNIR을 재시험한다. [7]</w:t>
      </w:r>
    </w:p>
    <w:p>
      <w:pPr>
        <w:pStyle w:val="Heading1"/>
      </w:pPr>
      <w:r>
        <w:t>5. 데이터 및 주요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3231"/>
        <w:gridCol w:w="6633"/>
      </w:tblGrid>
      <w:tr>
        <w:trPr>
          <w:tblHeader/>
        </w:trPr>
        <w:tc>
          <w:tcPr>
            <w:tcW w:type="dxa" w:w="3231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인터페이스 / 데이터</w:t>
            </w:r>
          </w:p>
        </w:tc>
        <w:tc>
          <w:tcPr>
            <w:tcW w:type="dxa" w:w="6633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핵심 계약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POST /v1/sessions</w:t>
            </w:r>
          </w:p>
        </w:tc>
        <w:tc>
          <w:tcPr>
            <w:tcW w:type="dxa" w:w="6633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목적(enroll/auth), 장치 ID, 행위 ID → session_id, challenge, 만료 시각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POST /v1/enrollments</w:t>
            </w:r>
          </w:p>
        </w:tc>
        <w:tc>
          <w:tcPr>
            <w:tcW w:type="dxa" w:w="6633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계정 확인 증거·동의 버전·촬영 묶음 → 템플릿 버전 및 등록 상태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POST /v1/authentications</w:t>
            </w:r>
          </w:p>
        </w:tc>
        <w:tc>
          <w:tcPr>
            <w:tcW w:type="dxa" w:w="6633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session_id·동기화 시퀀스·장치 증거 → 승인/거절/추가 인증. 검색 후보·점수는 외부에 미공개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DELETE /v1/subjects/{id}/face</w:t>
            </w:r>
          </w:p>
        </w:tc>
        <w:tc>
          <w:tcPr>
            <w:tcW w:type="dxa" w:w="6633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권한 확인 후 즉시 승인 차단 → 템플릿·인덱스 삭제 확인; 백업 만료 정책 반영</w:t>
            </w:r>
          </w:p>
        </w:tc>
      </w:tr>
      <w:tr>
        <w:trPr>
          <w:cantSplit/>
        </w:trPr>
        <w:tc>
          <w:tcPr>
            <w:tcW w:type="dxa" w:w="3231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템플릿 / 세션 레코드</w:t>
            </w:r>
          </w:p>
        </w:tc>
        <w:tc>
          <w:tcPr>
            <w:tcW w:type="dxa" w:w="6633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가명 고객 ID, 암호화 벡터, 모델·정렬·센서 보정 버전, 동의·폐기 상태 / challenge 사용 여부·만료·판정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8"/>
          <w:lang w:eastAsia="ko-KR"/>
        </w:rPr>
        <w:t>촬영 패킷은 session_id·challenge·장치 ID·프레임 순서·시각·보정 버전·원본 무결성 정보에 결합한다. 승인 발급과 challenge 소비는 원자적으로 처리해 재사용을 막는다.</w:t>
      </w:r>
    </w:p>
    <w:p>
      <w:pPr>
        <w:pStyle w:val="Heading1"/>
      </w:pPr>
      <w:r>
        <w:t>6. 하드웨어 및 구현 기술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8"/>
          <w:left w:val="single" w:sz="3" w:color="D9E3E8"/>
          <w:bottom w:val="single" w:sz="3" w:color="D9E3E8"/>
          <w:right w:val="single" w:sz="3" w:color="D9E3E8"/>
          <w:insideH w:val="single" w:sz="3" w:color="D9E3E8"/>
          <w:insideV w:val="single" w:sz="3" w:color="D9E3E8"/>
        </w:tblBorders>
      </w:tblPr>
      <w:tblGrid>
        <w:gridCol w:w="1644"/>
        <w:gridCol w:w="8220"/>
      </w:tblGrid>
      <w:tr>
        <w:trPr>
          <w:tblHeader/>
        </w:trPr>
        <w:tc>
          <w:tcPr>
            <w:tcW w:type="dxa" w:w="1644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구분</w:t>
            </w:r>
          </w:p>
        </w:tc>
        <w:tc>
          <w:tcPr>
            <w:tcW w:type="dxa" w:w="8220"/>
            <w:shd w:fill="153A5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  <w:lang w:eastAsia="ko-KR"/>
              </w:rPr>
              <w:t>평가·구현 기준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센서·단말</w:t>
            </w:r>
          </w:p>
        </w:tc>
        <w:tc>
          <w:tcPr>
            <w:tcW w:type="dxa" w:w="8220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Gemini 336의 RGB 1080p·Depth 1280×800·IR 동시 프로파일을 확인한다. 산업용 x86 + 32GB RAM + GPU로 시작; 40~80cm 품질·눈 안전·촬영 경로 보안을 검증한다. [6]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중앙 서버</w:t>
            </w:r>
          </w:p>
        </w:tc>
        <w:tc>
          <w:tcPr>
            <w:tcW w:type="dxa" w:w="8220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GPU 추론과 검색 서비스를 분리·복제한다. 평가 노드당 GPU 24~48GB, RAM 128GB를 시작점으로 하며 GPU 수량은 부하 시험으로 확정한다.</w:t>
            </w:r>
          </w:p>
        </w:tc>
      </w:tr>
      <w:tr>
        <w:trPr>
          <w:cantSplit/>
        </w:trPr>
        <w:tc>
          <w:tcPr>
            <w:tcW w:type="dxa" w:w="1644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/>
                <w:color w:val="1B2A38"/>
                <w:sz w:val="18"/>
                <w:lang w:eastAsia="ko-KR"/>
              </w:rPr>
              <w:t>소프트웨어</w:t>
            </w:r>
          </w:p>
        </w:tc>
        <w:tc>
          <w:tcPr>
            <w:tcW w:type="dxa" w:w="8220"/>
            <w:tcMar>
              <w:top w:w="70" w:type="dxa"/>
              <w:bottom w:w="70" w:type="dxa"/>
              <w:left w:w="95" w:type="dxa"/>
              <w:right w:w="95" w:type="dxa"/>
            </w:tcMar>
            <w:vAlign w:val="center"/>
            <w:shd w:fill="F3F6F8"/>
          </w:tcPr>
          <w:p>
            <w:pPr>
              <w:spacing w:after="0" w:line="269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1B2A38"/>
                <w:sz w:val="18"/>
                <w:lang w:eastAsia="ko-KR"/>
              </w:rPr>
              <w:t>C++/카메라 SDK·OpenCV, PyTorch → ONNX Runtime/TensorRT, FAISS, gRPC/FastAPI, PostgreSQL. 버전 고정·서명된 배포를 적용한다.</w:t>
            </w:r>
          </w:p>
        </w:tc>
      </w:tr>
    </w:tbl>
    <w:p>
      <w:pPr>
        <w:spacing w:after="0" w:before="0" w:line="40" w:lineRule="exact"/>
      </w:pPr>
      <w:r>
        <w:rPr>
          <w:rFonts w:ascii="Noto Sans CJK KR" w:hAnsi="Noto Sans CJK KR" w:eastAsia="Noto Sans CJK KR" w:cs="Noto Sans CJK KR"/>
          <w:sz w:val="4"/>
          <w:lang w:eastAsia="ko-KR"/>
        </w:rPr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color w:val="52616B"/>
          <w:sz w:val="17"/>
          <w:lang w:eastAsia="ko-KR"/>
        </w:rPr>
        <w:t>용량 산식: 100만 명 × 4개 × 512차원 × float32 = 벡터 원본 약 8.19GB. 복제·모델·작업 버퍼는 별도이며, 모델별 출력 차원 확정 후 재산정한다.</w:t>
      </w:r>
    </w:p>
    <w:p>
      <w:pPr>
        <w:pStyle w:val="Heading1"/>
      </w:pPr>
      <w:r>
        <w:t>7. 보안·장애·모델 변경 정책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8"/>
          <w:lang w:eastAsia="ko-KR"/>
        </w:rPr>
        <w:t>Secure Boot·보호된 장치 키·서명 업데이트를 적용하고 촬영 경로의 주입·변조를 별도 시험한다. TLS/서명만으로 센서 기원을 보증하지 않는다. 검색 메모리와 암호화 키를 격리하고, 센서·서버 장애 시 승인 조건을 완화하지 않는다. [8]</w:t>
      </w:r>
    </w:p>
    <w:p>
      <w:pPr>
        <w:spacing w:after="80"/>
      </w:pPr>
      <w:r>
        <w:rPr>
          <w:rFonts w:ascii="Noto Sans CJK KR" w:hAnsi="Noto Sans CJK KR" w:eastAsia="Noto Sans CJK KR" w:cs="Noto Sans CJK KR"/>
          <w:b w:val="0"/>
          <w:sz w:val="18"/>
          <w:lang w:eastAsia="ko-KR"/>
        </w:rPr>
        <w:t>철회는 원장에서 즉시 승인 차단 후 인덱스·백업 정책에 반영한다. 모델·정렬·점수 집계·양자화 변경은 버전별 재시험을 요구한다. 비호환 벡터는 비교하지 않으며, 원본 미보관 상태의 모델 교체는 재등록 계획을 포함한다. 성능·검증은 동봉 RFP 4~5절을 따른다.</w:t>
      </w:r>
    </w:p>
    <w:p>
      <w:pPr>
        <w:spacing w:before="100" w:after="40"/>
      </w:pPr>
      <w:r>
        <w:rPr>
          <w:rFonts w:ascii="Noto Sans CJK KR" w:hAnsi="Noto Sans CJK KR" w:eastAsia="Noto Sans CJK KR" w:cs="Noto Sans CJK KR"/>
          <w:b/>
          <w:color w:val="52616B"/>
          <w:sz w:val="16"/>
          <w:lang w:eastAsia="ko-KR"/>
        </w:rPr>
        <w:t>근거 및 참고자료  ·  공식 자료 확인: 2026.10.08</w:t>
      </w:r>
    </w:p>
    <w:p>
      <w:pPr>
        <w:spacing w:line="252" w:lineRule="auto" w:after="40"/>
      </w:pPr>
      <w:hyperlink r:id="rId11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[1] SCRFD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2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[2] 6DRepNet360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3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[3] FaRL / facer</w:t>
        </w:r>
      </w:hyperlink>
    </w:p>
    <w:p>
      <w:pPr>
        <w:spacing w:line="252" w:lineRule="auto" w:after="40"/>
      </w:pPr>
      <w:hyperlink r:id="rId14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[4] InsightFace 모델·권리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5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[5] KP-RPE 모델 카드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6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[6] Gemini 336 사양</w:t>
        </w:r>
      </w:hyperlink>
    </w:p>
    <w:p>
      <w:pPr>
        <w:spacing w:line="252" w:lineRule="auto" w:after="40"/>
      </w:pPr>
      <w:hyperlink r:id="rId17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[7] FAISS 검색 방식</w:t>
        </w:r>
      </w:hyperlink>
      <w:r>
        <w:rPr>
          <w:rFonts w:ascii="Noto Sans CJK KR" w:hAnsi="Noto Sans CJK KR" w:eastAsia="Noto Sans CJK KR" w:cs="Noto Sans CJK KR"/>
          <w:b w:val="0"/>
          <w:color w:val="52616B"/>
          <w:sz w:val="16"/>
          <w:lang w:eastAsia="ko-KR"/>
        </w:rPr>
        <w:t xml:space="preserve">   |   </w:t>
      </w:r>
      <w:hyperlink r:id="rId18">
        <w:r>
          <w:rPr>
            <w:rFonts w:ascii="Noto Sans CJK KR" w:hAnsi="Noto Sans CJK KR" w:eastAsia="Noto Sans CJK KR"/>
            <w:color w:val="006C78"/>
            <w:sz w:val="16"/>
            <w:u w:val="single"/>
          </w:rPr>
          <w:t>[8] NIST 생체 인증·입력 신뢰성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b w:val="0"/>
        <w:color w:val="52616B"/>
        <w:sz w:val="16"/>
        <w:lang w:eastAsia="ko-KR"/>
      </w:rPr>
      <w:t xml:space="preserve">검토용 초안 v0.1  ·  2026.10.08     |     </w:t>
    </w:r>
    <w:fldSimple w:instr="PAGE"/>
    <w:r>
      <w:rPr>
        <w:rFonts w:ascii="Noto Sans CJK KR" w:hAnsi="Noto Sans CJK KR" w:eastAsia="Noto Sans CJK KR" w:cs="Noto Sans CJK KR"/>
        <w:b w:val="0"/>
        <w:color w:val="52616B"/>
        <w:sz w:val="16"/>
        <w:lang w:eastAsia="ko-KR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space="4" w:color="D9E3E8"/>
      </w:pBdr>
    </w:pPr>
    <w:r>
      <w:rPr>
        <w:rFonts w:ascii="Noto Sans CJK KR" w:hAnsi="Noto Sans CJK KR" w:eastAsia="Noto Sans CJK KR" w:cs="Noto Sans CJK KR"/>
        <w:b/>
        <w:color w:val="52616B"/>
        <w:sz w:val="16"/>
        <w:lang w:eastAsia="ko-KR"/>
      </w:rPr>
      <w:t>얼굴 인증 시스템  /  시스템 디자인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Noto Sans CJK KR" w:hAnsi="Noto Sans CJK KR" w:eastAsia="Noto Sans CJK KR" w:cs="Noto Sans CJK KR"/>
      <w:color w:val="1B2A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06C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06C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aw.githubusercontent.com/deepinsight/insightface/master/detection/scrfd/README.md" TargetMode="External"/><Relationship Id="rId12" Type="http://schemas.openxmlformats.org/officeDocument/2006/relationships/hyperlink" Target="https://github.com/thohemp/6DRepNet360" TargetMode="External"/><Relationship Id="rId13" Type="http://schemas.openxmlformats.org/officeDocument/2006/relationships/hyperlink" Target="https://github.com/FacePerceiver/facer" TargetMode="External"/><Relationship Id="rId14" Type="http://schemas.openxmlformats.org/officeDocument/2006/relationships/hyperlink" Target="https://raw.githubusercontent.com/deepinsight/insightface/master/recognition/arcface_torch/README.md" TargetMode="External"/><Relationship Id="rId15" Type="http://schemas.openxmlformats.org/officeDocument/2006/relationships/hyperlink" Target="https://huggingface.co/minchul/cvlface_adaface_vit_base_kprpe_webface12m" TargetMode="External"/><Relationship Id="rId16" Type="http://schemas.openxmlformats.org/officeDocument/2006/relationships/hyperlink" Target="https://www.orbbec.com/products/stereo-vision-camera/gemini-336/" TargetMode="External"/><Relationship Id="rId17" Type="http://schemas.openxmlformats.org/officeDocument/2006/relationships/hyperlink" Target="https://github.com/facebookresearch/faiss/wiki/Faiss-indexes" TargetMode="External"/><Relationship Id="rId18" Type="http://schemas.openxmlformats.org/officeDocument/2006/relationships/hyperlink" Target="https://pages.nist.gov/800-63-4/sp800-63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1:N 얼굴 인증 시스템 - 시스템 디자인</dc:title>
  <dc:subject>RGB·Depth·IR 기반 산업용 얼굴 식별 및 인증</dc:subject>
  <dc:creator/>
  <cp:keywords>1:N, RGB, Depth, IR, 얼굴 인증, RFP, 시스템 디자인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