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messagecaption"/>
        <w:rPr/>
      </w:pPr>
      <w:r>
        <w:rPr/>
        <w:t>ПРОТОКОЛ ВСКРЫТИЯ (54256)</w:t>
      </w:r>
    </w:p>
    <w:p>
      <w:pPr>
        <w:pStyle w:val="centered"/>
        <w:rPr>
          <w:b/>
        </w:rPr>
      </w:pPr>
      <w:r>
        <w:rPr>
          <w:b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</w:rPr>
        <w:t xml:space="preserve"> RAD250024383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</w:rPr>
        <w:t xml:space="preserve"> 32515501735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</w:rPr>
        <w:t xml:space="preserve"> Запрос цен по результатам конкурентного предварительного отбора.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</w:rPr>
        <w:t xml:space="preserve"> АКЦИОНЕРНОЕ ОБЩЕСТВО "ТУЛЬСКИЕ ГОРОДСКИЕ ЭЛЕКТРИЧЕСКИЕ СЕТИ" (ИНН: 7105505971, КПП: 710501001, ОГРН: 1097154002648).</w:t>
      </w:r>
    </w:p>
    <w:p>
      <w:pPr>
        <w:pStyle w:val="text"/>
        <w:rPr/>
      </w:pPr>
      <w:r>
        <w:rPr/>
        <w:t>Место нахождения: 300001, Тульская обл, г Тула, р-н Пролетарский, ул Демидовская плотина, дом 10.</w:t>
      </w:r>
    </w:p>
    <w:p>
      <w:pPr>
        <w:pStyle w:val="text"/>
        <w:rPr/>
      </w:pPr>
      <w:r>
        <w:rPr/>
        <w:t>Почтовый адрес: 300001, Тульская обл, г Тула, р-н Пролетарский, ул Демидовская плотина, дом 10.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</w:rPr>
        <w:t xml:space="preserve"> АКЦИОНЕРНОЕ ОБЩЕСТВО "ТУЛЬСКИЕ ГОРОДСКИЕ ЭЛЕКТРИЧЕСКИЕ СЕТИ" (ИНН: 7105505971, КПП: 710501001, ОГРН: 1097154002648).</w:t>
      </w:r>
    </w:p>
    <w:p>
      <w:pPr>
        <w:pStyle w:val="text"/>
        <w:rPr/>
      </w:pPr>
      <w:r>
        <w:rPr/>
        <w:t>Место нахождения: 300001, Тульская обл, г Тула, р-н Пролетарский, ул Демидовская плотина, дом 10.</w:t>
      </w:r>
    </w:p>
    <w:p>
      <w:pPr>
        <w:pStyle w:val="text"/>
        <w:rPr/>
      </w:pPr>
      <w:r>
        <w:rPr/>
        <w:t>Почтовый адрес: 300001, Тульская обл, г Тула, р-н Пролетарский, ул Демидовская плотина, дом 10.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</w:rPr>
        <w:t xml:space="preserve"> Цыбина В. В., тел.: +7(4872)47-83-65, e-mail: Yurchikova.EV@tl.mrsk-cp.ru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</w:rPr>
        <w:t xml:space="preserve"> Акционерное общество «Российский аукционный дом» (ИНН: 7838430413, КПП: 783801001, ОГРН: 1097847233351).</w:t>
      </w:r>
    </w:p>
    <w:p>
      <w:pPr>
        <w:pStyle w:val="text"/>
        <w:rPr/>
      </w:pPr>
      <w:r>
        <w:rPr/>
        <w:t>Место нахождения: РФ, 190000, г. Санкт-Петербург, переулок Гривцова, дом 5, литера B.</w:t>
      </w:r>
    </w:p>
    <w:p>
      <w:pPr>
        <w:pStyle w:val="text"/>
        <w:rPr/>
      </w:pPr>
      <w:r>
        <w:rPr/>
        <w:t>Почтовый адрес: РФ, 190000, г. Санкт-Петербург, переулок Гривцова, дом 5, литера B.</w:t>
      </w:r>
    </w:p>
    <w:p>
      <w:pPr>
        <w:pStyle w:val="text"/>
        <w:rPr/>
      </w:pPr>
      <w:r>
        <w:rPr/>
        <w:t>Техническая поддержка: тел.: 8 800 777 57 57, эл. почта: 223s@lot-online.ru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</w:rPr>
        <w:t xml:space="preserve"> ПИР, СМР «Реконструкция РУ-0,4 кВ РП 80, строительство ЛЭП-0,4 кВ, установка приборов учета по адресу: г. Тула, Пролетарский район, Новомедвенский проезд, 2, нежилое здание поликлиники</w:t>
        <w:br/>
        <w:t>договор ТП № 40-25 от 05.02.2025г.» для нужд АО «ТГЭС»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</w:rPr>
        <w:t xml:space="preserve"> ПИР, СМР «Реконструкция РУ-0,4 кВ РП 80, строительство ЛЭП-0,4 кВ, установка приборов учета по адресу: г. Тула, Пролетарский район, Новомедвенский проезд, 2, нежилое здание поликлиники</w:t>
        <w:br/>
        <w:t>договор ТП № 40-25 от 05.02.2025г.» для нужд АО «ТГЭС».</w:t>
      </w:r>
    </w:p>
    <w:p>
      <w:pPr>
        <w:pStyle w:val="Normal"/>
        <w:rPr>
          <w:b/>
        </w:rPr>
      </w:pPr>
      <w:r>
        <w:rPr>
          <w:b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"/>
        <w:gridCol w:w="2644"/>
        <w:gridCol w:w="1390"/>
        <w:gridCol w:w="2679"/>
        <w:gridCol w:w="2539"/>
      </w:tblGrid>
      <w:tr>
        <w:trPr/>
        <w:tc>
          <w:tcPr>
            <w:tcW w:w="386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267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53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6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Устройства коммутационные на напряжение не более 1 кВ прочие, не включенные в другие группировки</w:t>
            </w:r>
          </w:p>
        </w:tc>
        <w:tc>
          <w:tcPr>
            <w:tcW w:w="139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 (Условная единица)</w:t>
            </w:r>
          </w:p>
        </w:tc>
        <w:tc>
          <w:tcPr>
            <w:tcW w:w="26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27.33.11.190: Устройства коммутационные на напряжение не более 1 кВ прочие, не включенные в другие группировки</w:t>
              <w:br/>
              <w:t>Присутствуют обстоятельства, допускающие исключение, влекущее неприменение запрета, ограничения: нет</w:t>
            </w:r>
          </w:p>
        </w:tc>
        <w:tc>
          <w:tcPr>
            <w:tcW w:w="25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27.33: Производство электроустановочных изделий</w:t>
            </w:r>
          </w:p>
        </w:tc>
      </w:tr>
      <w:tr>
        <w:trPr/>
        <w:tc>
          <w:tcPr>
            <w:tcW w:w="38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26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Линии электропередачи местные кабельные</w:t>
            </w:r>
          </w:p>
        </w:tc>
        <w:tc>
          <w:tcPr>
            <w:tcW w:w="139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 (Условная единица)</w:t>
            </w:r>
          </w:p>
        </w:tc>
        <w:tc>
          <w:tcPr>
            <w:tcW w:w="26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42.22.12.112: Линии электропередачи местные кабельные</w:t>
              <w:br/>
              <w:t>Присутствуют обстоятельства, допускающие исключение, влекущее неприменение запрета, ограничения: нет</w:t>
            </w:r>
          </w:p>
        </w:tc>
        <w:tc>
          <w:tcPr>
            <w:tcW w:w="25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42.22: Строительство коммунальных объектов для обеспечения электроэнергией и телекоммуникациями</w:t>
            </w:r>
          </w:p>
        </w:tc>
      </w:tr>
      <w:tr>
        <w:trPr/>
        <w:tc>
          <w:tcPr>
            <w:tcW w:w="38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264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Приборы цифровые электроизмерительные прочие</w:t>
            </w:r>
          </w:p>
        </w:tc>
        <w:tc>
          <w:tcPr>
            <w:tcW w:w="139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 (Условная единица)</w:t>
            </w:r>
          </w:p>
        </w:tc>
        <w:tc>
          <w:tcPr>
            <w:tcW w:w="26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26.51.43.119: Приборы цифровые электроизмерительные прочие</w:t>
              <w:br/>
              <w:t>Вид требований: Ограничение</w:t>
              <w:br/>
              <w:t>Присутствуют обстоятельства, допускающие исключение, влекущее неприменение запрета, ограничения: нет</w:t>
            </w:r>
          </w:p>
        </w:tc>
        <w:tc>
          <w:tcPr>
            <w:tcW w:w="253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26.51: Производство инструментов и приборов для измерения, тестирования и навигации</w:t>
            </w:r>
          </w:p>
        </w:tc>
      </w:tr>
    </w:tbl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</w:rPr>
        <w:t xml:space="preserve"> Устройства коммутационные на напряжение не более 1 кВ прочие, не включенные в другие группировки: 1 (Условная единица), Линии электропередачи местные кабельные: 1 (Условная единица), Приборы цифровые электроизмерительные прочие: 1 (Условная единица).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</w:rPr>
        <w:t xml:space="preserve"> 6 541 823,95 руб.</w:t>
      </w:r>
    </w:p>
    <w:p>
      <w:pPr>
        <w:pStyle w:val="variable"/>
        <w:rPr/>
      </w:pPr>
      <w:r>
        <w:rPr/>
        <w:t>Начальная (максимальная) цена договора (лота) без НДС:</w:t>
      </w:r>
      <w:r>
        <w:rPr>
          <w:b w:val="false"/>
        </w:rPr>
        <w:t xml:space="preserve"> 5 451 519,96 руб.</w:t>
      </w:r>
    </w:p>
    <w:p>
      <w:pPr>
        <w:pStyle w:val="variable"/>
        <w:rPr/>
      </w:pPr>
      <w:r>
        <w:rPr/>
        <w:t>Сумма НДС:</w:t>
      </w:r>
      <w:r>
        <w:rPr>
          <w:b w:val="false"/>
        </w:rPr>
        <w:t xml:space="preserve"> 1 090 303,99 руб.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</w:rPr>
        <w:t xml:space="preserve"> с 8 декабря 2025 года по 15 декабря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</w:rPr>
        <w:t xml:space="preserve"> АКЦИОНЕРНОЕ ОБЩЕСТВО «РОССИЙСКИЙ АУКЦИОННЫЙ ДОМ» (https://lot-online.ru).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</w:rPr>
        <w:t xml:space="preserve"> В электронной форме.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</w:rPr>
        <w:t xml:space="preserve"> https://tender.lot-online.ru,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</w:rPr>
        <w:t xml:space="preserve"> АКЦИОНЕРНОЕ ОБЩЕСТВО «РОССИЙСКИЙ АУКЦИОННЫЙ ДОМ» (https://lot-online.ru).</w:t>
      </w:r>
    </w:p>
    <w:p>
      <w:pPr>
        <w:pStyle w:val="variable"/>
        <w:rPr/>
      </w:pPr>
      <w:r>
        <w:rPr/>
        <w:t>Дата и время начала подачи заявок:</w:t>
      </w:r>
      <w:r>
        <w:rPr>
          <w:b w:val="false"/>
        </w:rPr>
        <w:t xml:space="preserve"> 8 декабря 2025 года в 00:00 MCK.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</w:rPr>
        <w:t xml:space="preserve"> 15 декабря 2025 года в 12:00 MCK.</w:t>
      </w:r>
    </w:p>
    <w:p>
      <w:pPr>
        <w:pStyle w:val="variable"/>
        <w:rPr/>
      </w:pPr>
      <w:r>
        <w:rPr/>
        <w:t>Место и дата рассмотрения заявок:</w:t>
      </w:r>
      <w:r>
        <w:rPr>
          <w:b w:val="false"/>
        </w:rPr>
        <w:t xml:space="preserve"> АКЦИОНЕРНОЕ ОБЩЕСТВО «РОССИЙСКИЙ АУКЦИОННЫЙ ДОМ» (https://lot-online.ru), 17 декабря 2025 года.</w:t>
      </w:r>
    </w:p>
    <w:p>
      <w:pPr>
        <w:pStyle w:val="variable"/>
        <w:rPr/>
      </w:pPr>
      <w:r>
        <w:rPr/>
        <w:t>Место и дата подведения итогов закупки:</w:t>
      </w:r>
      <w:r>
        <w:rPr>
          <w:b w:val="false"/>
        </w:rPr>
        <w:t xml:space="preserve"> АКЦИОНЕРНОЕ ОБЩЕСТВО «РОССИЙСКИЙ АУКЦИОННЫЙ ДОМ» (https://lot-online.ru), 19 декабря 2025 года.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II. Сведения о результатах вскрытия конвертов с заявками на участие в закупке и открытия доступа к поданным в форме электронных документов заявкам на участие в закупке</w:t>
      </w:r>
    </w:p>
    <w:p>
      <w:pPr>
        <w:pStyle w:val="Normal"/>
        <w:rPr/>
      </w:pPr>
      <w:r>
        <w:rPr>
          <w:b/>
        </w:rPr>
        <w:br/>
        <w:t xml:space="preserve">Количество поданных на участие в закупке заявок: </w:t>
      </w:r>
      <w:r>
        <w:rPr/>
        <w:t>3.</w:t>
        <w:br/>
      </w:r>
      <w:r>
        <w:rPr>
          <w:b/>
        </w:rPr>
        <w:t>Сведения об участниках, подавших заявки на участие в закупке: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63"/>
        <w:gridCol w:w="4195"/>
        <w:gridCol w:w="3380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451044 в журнале регистрации.</w:t>
            </w:r>
          </w:p>
        </w:tc>
      </w:tr>
      <w:tr>
        <w:trPr/>
        <w:tc>
          <w:tcPr>
            <w:tcW w:w="206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4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Наименование участника закупки</w:t>
            </w:r>
          </w:p>
        </w:tc>
        <w:tc>
          <w:tcPr>
            <w:tcW w:w="33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206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12.12.2025 10:32 MCK</w:t>
            </w:r>
          </w:p>
        </w:tc>
        <w:tc>
          <w:tcPr>
            <w:tcW w:w="4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ОБЩЕСТВО С ОГРАНИЧЕННОЙ ОТВЕТСТВЕННОСТЬЮ "ГЕОЗЕМКАДАСТР"</w:t>
            </w:r>
          </w:p>
        </w:tc>
        <w:tc>
          <w:tcPr>
            <w:tcW w:w="33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300028, г. Тула, ул. Болдина, д. 98, лит.А3, офис 317</w:t>
            </w:r>
          </w:p>
        </w:tc>
      </w:tr>
      <w:tr>
        <w:trPr/>
        <w:tc>
          <w:tcPr>
            <w:tcW w:w="9638" w:type="dxa"/>
            <w:gridSpan w:val="3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451119 в журнале регистрации.</w:t>
            </w:r>
          </w:p>
        </w:tc>
      </w:tr>
      <w:tr>
        <w:trPr/>
        <w:tc>
          <w:tcPr>
            <w:tcW w:w="206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4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Наименование участника закупки</w:t>
            </w:r>
          </w:p>
        </w:tc>
        <w:tc>
          <w:tcPr>
            <w:tcW w:w="33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206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12.12.2025 12:16 MCK</w:t>
            </w:r>
          </w:p>
        </w:tc>
        <w:tc>
          <w:tcPr>
            <w:tcW w:w="4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ОБЩЕСТВО С ОГРАНИЧЕННОЙ ОТВЕТСТВЕННОСТЬЮ "ЛЕГИОНЭНЕРГО"</w:t>
            </w:r>
          </w:p>
        </w:tc>
        <w:tc>
          <w:tcPr>
            <w:tcW w:w="33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300045, ОБЛ ТУЛЬСКАЯ, Г ТУЛА, Новомосковское шоссе, д. 24, оф. 4</w:t>
            </w:r>
          </w:p>
        </w:tc>
      </w:tr>
      <w:tr>
        <w:trPr/>
        <w:tc>
          <w:tcPr>
            <w:tcW w:w="9638" w:type="dxa"/>
            <w:gridSpan w:val="3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451295 в журнале регистрации.</w:t>
            </w:r>
          </w:p>
        </w:tc>
      </w:tr>
      <w:tr>
        <w:trPr/>
        <w:tc>
          <w:tcPr>
            <w:tcW w:w="206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4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Наименование участника закупки</w:t>
            </w:r>
          </w:p>
        </w:tc>
        <w:tc>
          <w:tcPr>
            <w:tcW w:w="33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206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12.12.2025 16:27 MCK</w:t>
            </w:r>
          </w:p>
        </w:tc>
        <w:tc>
          <w:tcPr>
            <w:tcW w:w="419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ОБЩЕСТВО С ОГРАНИЧЕННОЙ ОТВЕТСТВЕННОСТЬЮ "ИОН"</w:t>
            </w:r>
          </w:p>
        </w:tc>
        <w:tc>
          <w:tcPr>
            <w:tcW w:w="338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301138, ОБЛ ТУЛЬСКАЯ, Р-Н ЛЕНИНСКИЙ, П ИНШИНСКИЙ, , ДОМ 40 В</w:t>
            </w:r>
          </w:p>
        </w:tc>
      </w:tr>
    </w:tbl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Style11">
    <w:name w:val="Основной шрифт абзаца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Style12">
    <w:name w:val="Красная строка"/>
    <w:basedOn w:val="BodyText"/>
    <w:qFormat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S Gothic;ＭＳ ゴシック" w:cs="Tahoma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Style13">
    <w:name w:val="Название объекта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Style13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pagebreaker">
    <w:name w:val="pagebreaker"/>
    <w:basedOn w:val="text"/>
    <w:next w:val="text"/>
    <w:qFormat/>
    <w:pPr>
      <w:keepNext w:val="true"/>
      <w:widowControl/>
    </w:pPr>
    <w:rPr/>
  </w:style>
  <w:style w:type="paragraph" w:styleId="captionFirstLine">
    <w:name w:val="captionFirstLine"/>
    <w:basedOn w:val="text"/>
    <w:next w:val="text"/>
    <w:qFormat/>
    <w:pPr>
      <w:keepNext w:val="false"/>
      <w:keepLines w:val="false"/>
      <w:pageBreakBefore/>
      <w:widowControl w:val="false"/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2025-12-15T10:27:00Z</dcterms:created>
  <dc:creator>Мухина Инна Николаевна</dc:creator>
  <dc:description/>
  <cp:keywords/>
  <dc:language>en-US</dc:language>
  <cp:lastModifiedBy>Мухина Инна Николаевна</cp:lastModifiedBy>
  <dcterms:modified xsi:type="dcterms:W3CDTF">2025-12-15T10:27:00Z</dcterms:modified>
  <cp:revision>2</cp:revision>
  <dc:subject/>
  <dc:title/>
</cp:coreProperties>
</file>