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ИТОГОВЫЙ ПРОТОКОЛ № 36/25-ЗП</w:t>
      </w:r>
    </w:p>
    <w:p>
      <w:pPr>
        <w:pStyle w:val="Normal"/>
        <w:tabs>
          <w:tab w:val="clear" w:pos="709"/>
          <w:tab w:val="left" w:pos="0" w:leader="none"/>
        </w:tabs>
        <w:ind w:end="-1"/>
        <w:jc w:val="center"/>
        <w:rPr/>
      </w:pPr>
      <w:r>
        <w:rPr/>
        <w:t>по результатам</w:t>
      </w:r>
      <w:r>
        <w:rPr>
          <w:b/>
          <w:bCs/>
          <w:sz w:val="28"/>
          <w:szCs w:val="28"/>
        </w:rPr>
        <w:t xml:space="preserve"> </w:t>
      </w:r>
      <w:r>
        <w:rPr/>
        <w:t>проведения запроса предложений в электронной форме на право заключения договора на оказание услуг по продвижению и техническому обслуживанию веб-страницы ex-ostankino.ru и техническому обслуживанию веб-сайта prokat-ostankino.ru</w:t>
      </w:r>
    </w:p>
    <w:p>
      <w:pPr>
        <w:pStyle w:val="Normal"/>
        <w:tabs>
          <w:tab w:val="clear" w:pos="709"/>
          <w:tab w:val="left" w:pos="0" w:leader="none"/>
        </w:tabs>
        <w:ind w:end="-1"/>
        <w:jc w:val="both"/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709"/>
          <w:tab w:val="left" w:pos="0" w:leader="none"/>
        </w:tabs>
        <w:ind w:end="-1"/>
        <w:jc w:val="center"/>
        <w:rPr/>
      </w:pPr>
      <w:r>
        <w:rPr/>
        <w:t>г. Москва</w:t>
        <w:tab/>
        <w:tab/>
        <w:tab/>
        <w:tab/>
        <w:tab/>
        <w:tab/>
        <w:tab/>
        <w:tab/>
        <w:tab/>
        <w:t xml:space="preserve">      12 декабря 2025 года</w:t>
      </w:r>
    </w:p>
    <w:p>
      <w:pPr>
        <w:pStyle w:val="Normal"/>
        <w:tabs>
          <w:tab w:val="clear" w:pos="709"/>
          <w:tab w:val="left" w:pos="0" w:leader="none"/>
        </w:tabs>
        <w:ind w:end="176"/>
        <w:rPr/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end="-1"/>
        <w:jc w:val="both"/>
        <w:rPr/>
      </w:pPr>
      <w:r>
        <w:rPr>
          <w:b/>
          <w:bCs/>
        </w:rPr>
        <w:t>Наименование закупки:</w:t>
      </w:r>
      <w:r>
        <w:rPr>
          <w:bCs/>
        </w:rPr>
        <w:t xml:space="preserve"> </w:t>
      </w:r>
      <w:r>
        <w:rPr/>
        <w:t>запрос предложений в электронной форме на право заключения договора на о</w:t>
      </w:r>
      <w:r>
        <w:rPr>
          <w:color w:val="222222"/>
        </w:rPr>
        <w:t xml:space="preserve">казание услуг по продвижению и техническому обслуживанию веб-страницы ex-ostankino.ru и техническому обслуживанию веб-сайта prokat-ostankino.ru </w:t>
      </w:r>
      <w:r>
        <w:rPr/>
        <w:t>(извещение</w:t>
        <w:br/>
        <w:t xml:space="preserve">№ </w:t>
      </w:r>
      <w:r>
        <w:rPr>
          <w:color w:val="222222"/>
        </w:rPr>
        <w:t>32515479917</w:t>
      </w:r>
      <w:r>
        <w:rPr/>
        <w:t xml:space="preserve"> от 02.12.2025).</w:t>
      </w:r>
    </w:p>
    <w:p>
      <w:pPr>
        <w:pStyle w:val="Normal"/>
        <w:tabs>
          <w:tab w:val="clear" w:pos="709"/>
          <w:tab w:val="left" w:pos="0" w:leader="none"/>
        </w:tabs>
        <w:ind w:firstLine="426" w:end="-1"/>
        <w:jc w:val="both"/>
        <w:rPr/>
      </w:pPr>
      <w:r>
        <w:rPr/>
      </w:r>
    </w:p>
    <w:p>
      <w:pPr>
        <w:pStyle w:val="Normal"/>
        <w:widowControl w:val="false"/>
        <w:ind w:firstLine="426" w:end="0"/>
        <w:jc w:val="both"/>
        <w:rPr/>
      </w:pPr>
      <w:r>
        <w:rPr/>
        <w:t>На рассмотрении и оценке заявок присутствовало 7 членов комиссии. Кворум имеется, заседание комиссии правомочно.</w:t>
      </w:r>
    </w:p>
    <w:p>
      <w:pPr>
        <w:pStyle w:val="Normal"/>
        <w:widowControl w:val="false"/>
        <w:ind w:firstLine="426" w:end="0"/>
        <w:jc w:val="both"/>
        <w:rPr/>
      </w:pPr>
      <w:r>
        <w:rPr/>
        <w:t>Процедура рассмотрения заявок и подведения итогов закупки проводится 12 декабря 2025 года по адресу: г. Москва, ул. Академика Королева, д. 12 и осуществляется в порядке, установленном документацией о проведении запроса предложений в электронной форме.</w:t>
      </w:r>
    </w:p>
    <w:p>
      <w:pPr>
        <w:pStyle w:val="Normal"/>
        <w:widowControl w:val="false"/>
        <w:ind w:firstLine="426" w:end="0"/>
        <w:jc w:val="both"/>
        <w:rPr/>
      </w:pPr>
      <w:r>
        <w:rPr/>
      </w:r>
    </w:p>
    <w:p>
      <w:pPr>
        <w:pStyle w:val="BodyText"/>
        <w:ind w:firstLine="426" w:end="-1"/>
        <w:jc w:val="both"/>
        <w:rPr/>
      </w:pPr>
      <w:r>
        <w:rPr/>
        <w:t>По вопросу повестки дня:</w:t>
      </w:r>
    </w:p>
    <w:p>
      <w:pPr>
        <w:pStyle w:val="BodyText"/>
        <w:ind w:firstLine="426" w:end="-1"/>
        <w:jc w:val="both"/>
        <w:rPr>
          <w:b/>
          <w:bCs/>
          <w:lang w:val="ru-RU"/>
        </w:rPr>
      </w:pPr>
      <w:r>
        <w:rPr>
          <w:bCs/>
          <w:lang w:val="ru-RU"/>
        </w:rPr>
        <w:t>Председатель</w:t>
      </w:r>
      <w:r>
        <w:rPr>
          <w:bCs/>
        </w:rPr>
        <w:t xml:space="preserve"> комиссии сообщил повестку дня и регламент заседания комиссии.</w:t>
      </w:r>
    </w:p>
    <w:p>
      <w:pPr>
        <w:pStyle w:val="BodyText"/>
        <w:ind w:firstLine="426" w:end="-1"/>
        <w:jc w:val="both"/>
        <w:rPr>
          <w:bCs/>
          <w:lang w:val="ru-RU"/>
        </w:rPr>
      </w:pPr>
      <w:r>
        <w:rPr>
          <w:bCs/>
        </w:rPr>
        <w:t>Замечаний и предложений по повестке дня и регламенту работы комиссии не поступало.</w:t>
      </w:r>
    </w:p>
    <w:p>
      <w:pPr>
        <w:pStyle w:val="33"/>
        <w:ind w:firstLine="426" w:end="-1"/>
        <w:jc w:val="both"/>
        <w:rPr/>
      </w:pPr>
      <w:r>
        <w:rPr>
          <w:bCs/>
          <w:sz w:val="24"/>
          <w:szCs w:val="24"/>
          <w:lang w:val="ru-RU"/>
        </w:rPr>
        <w:t>Представлено три заявки от трёх участников закупки:</w:t>
      </w:r>
    </w:p>
    <w:p>
      <w:pPr>
        <w:pStyle w:val="Normal"/>
        <w:widowControl w:val="false"/>
        <w:ind w:firstLine="426" w:end="0"/>
        <w:jc w:val="both"/>
        <w:rPr/>
      </w:pPr>
      <w:r>
        <w:rPr/>
        <w:t>Результаты рассмотрения заявок, объявленные на заседании комиссии:</w:t>
      </w:r>
    </w:p>
    <w:p>
      <w:pPr>
        <w:pStyle w:val="33"/>
        <w:ind w:end="-1"/>
        <w:jc w:val="both"/>
        <w:rPr>
          <w:bCs/>
          <w:sz w:val="22"/>
          <w:szCs w:val="24"/>
          <w:lang w:val="ru-RU"/>
        </w:rPr>
      </w:pPr>
      <w:r>
        <w:rPr>
          <w:bCs/>
          <w:sz w:val="22"/>
          <w:szCs w:val="24"/>
          <w:lang w:val="ru-RU"/>
        </w:rPr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Участник </w:t>
      </w:r>
      <w:r>
        <w:rPr>
          <w:bCs/>
          <w:sz w:val="24"/>
          <w:szCs w:val="24"/>
        </w:rPr>
        <w:t xml:space="preserve">№ </w:t>
      </w:r>
      <w:r>
        <w:rPr>
          <w:bCs/>
          <w:sz w:val="24"/>
          <w:szCs w:val="24"/>
          <w:lang w:val="ru-RU"/>
        </w:rPr>
        <w:t>1:</w:t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66"/>
        <w:gridCol w:w="3991"/>
      </w:tblGrid>
      <w:tr>
        <w:trPr>
          <w:trHeight w:val="216" w:hRule="atLeast"/>
        </w:trPr>
        <w:tc>
          <w:tcPr>
            <w:tcW w:w="5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3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 xml:space="preserve">03.12.2025 </w:t>
            </w:r>
          </w:p>
          <w:p>
            <w:pPr>
              <w:pStyle w:val="33"/>
              <w:jc w:val="center"/>
              <w:rPr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09:29</w:t>
            </w:r>
          </w:p>
        </w:tc>
      </w:tr>
    </w:tbl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Normal"/>
        <w:ind w:firstLine="426" w:end="0"/>
        <w:jc w:val="both"/>
        <w:rPr/>
      </w:pPr>
      <w:r>
        <w:rPr>
          <w:bCs/>
          <w:iCs/>
        </w:rPr>
        <w:t xml:space="preserve">Предложение о цене договора </w:t>
      </w:r>
      <w:r>
        <w:rPr/>
        <w:t>– 3 971 251,23 рублей (Три миллиона девятьсот семьдесят одна тысяча двести пятьдесят один рубль 23 копейки).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center"/>
        <w:rPr/>
      </w:pPr>
      <w:r>
        <w:rPr>
          <w:bCs/>
          <w:lang w:val="en-US"/>
        </w:rPr>
        <w:t>Наличие сведений и документов, предусмотренных документацией</w:t>
      </w:r>
      <w:r>
        <w:rPr>
          <w:bCs/>
        </w:rPr>
        <w:t xml:space="preserve"> </w:t>
      </w:r>
      <w:r>
        <w:rPr>
          <w:bCs/>
          <w:lang w:val="en-US"/>
        </w:rPr>
        <w:t>о проведении запроса предложений: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02"/>
        <w:gridCol w:w="2455"/>
      </w:tblGrid>
      <w:tr>
        <w:trPr>
          <w:trHeight w:val="216" w:hRule="atLeast"/>
        </w:trPr>
        <w:tc>
          <w:tcPr>
            <w:tcW w:w="6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Документы, представленные участником в соответствии с требованиями пункта 13 Информационной карты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Соответствуют</w:t>
            </w:r>
          </w:p>
        </w:tc>
      </w:tr>
    </w:tbl>
    <w:p>
      <w:pPr>
        <w:pStyle w:val="Normal"/>
        <w:ind w:firstLine="284" w:end="0"/>
        <w:jc w:val="both"/>
        <w:rPr>
          <w:bCs/>
        </w:rPr>
      </w:pPr>
      <w:r>
        <w:rPr>
          <w:bCs/>
        </w:rPr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Участник</w:t>
      </w:r>
      <w:r>
        <w:rPr>
          <w:bCs/>
          <w:sz w:val="24"/>
          <w:szCs w:val="24"/>
        </w:rPr>
        <w:t xml:space="preserve"> № </w:t>
      </w:r>
      <w:r>
        <w:rPr>
          <w:bCs/>
          <w:sz w:val="24"/>
          <w:szCs w:val="24"/>
          <w:lang w:val="ru-RU"/>
        </w:rPr>
        <w:t>2:</w:t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66"/>
        <w:gridCol w:w="3991"/>
      </w:tblGrid>
      <w:tr>
        <w:trPr>
          <w:trHeight w:val="216" w:hRule="atLeast"/>
        </w:trPr>
        <w:tc>
          <w:tcPr>
            <w:tcW w:w="5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3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 xml:space="preserve">09.12.2025 </w:t>
            </w:r>
          </w:p>
          <w:p>
            <w:pPr>
              <w:pStyle w:val="33"/>
              <w:jc w:val="center"/>
              <w:rPr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12:05</w:t>
            </w:r>
          </w:p>
        </w:tc>
      </w:tr>
    </w:tbl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Normal"/>
        <w:ind w:firstLine="426" w:end="0"/>
        <w:jc w:val="both"/>
        <w:rPr/>
      </w:pPr>
      <w:r>
        <w:rPr>
          <w:bCs/>
          <w:iCs/>
        </w:rPr>
        <w:t xml:space="preserve">Предложение о цене договора </w:t>
      </w:r>
      <w:r>
        <w:rPr/>
        <w:t>– 4 776 000,00 рублей (Четыре миллиона семьсот семьдесят шесть тысяч рублей 00 копеек).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center"/>
        <w:rPr/>
      </w:pPr>
      <w:r>
        <w:rPr>
          <w:bCs/>
          <w:lang w:val="en-US"/>
        </w:rPr>
        <w:t>Наличие сведений и документов, предусмотренных документацией</w:t>
      </w:r>
      <w:r>
        <w:rPr>
          <w:bCs/>
        </w:rPr>
        <w:t xml:space="preserve"> </w:t>
      </w:r>
      <w:r>
        <w:rPr>
          <w:bCs/>
          <w:lang w:val="en-US"/>
        </w:rPr>
        <w:t>о проведении запроса предложений: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02"/>
        <w:gridCol w:w="2455"/>
      </w:tblGrid>
      <w:tr>
        <w:trPr>
          <w:trHeight w:val="216" w:hRule="atLeast"/>
        </w:trPr>
        <w:tc>
          <w:tcPr>
            <w:tcW w:w="6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Документы, представленные участником в соответствии с требованиями пункта 13 Информационной карты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Соответствуют</w:t>
            </w:r>
          </w:p>
        </w:tc>
      </w:tr>
    </w:tbl>
    <w:p>
      <w:pPr>
        <w:pStyle w:val="Normal"/>
        <w:ind w:firstLine="284" w:end="0"/>
        <w:jc w:val="both"/>
        <w:rPr>
          <w:bCs/>
        </w:rPr>
      </w:pPr>
      <w:r>
        <w:rPr>
          <w:bCs/>
        </w:rPr>
      </w:r>
    </w:p>
    <w:p>
      <w:pPr>
        <w:pStyle w:val="Normal"/>
        <w:ind w:firstLine="284" w:end="0"/>
        <w:jc w:val="both"/>
        <w:rPr>
          <w:bCs/>
        </w:rPr>
      </w:pPr>
      <w:r>
        <w:rPr>
          <w:bCs/>
        </w:rPr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Участник</w:t>
      </w:r>
      <w:r>
        <w:rPr>
          <w:bCs/>
          <w:sz w:val="24"/>
          <w:szCs w:val="24"/>
        </w:rPr>
        <w:t xml:space="preserve"> № </w:t>
      </w:r>
      <w:r>
        <w:rPr>
          <w:bCs/>
          <w:sz w:val="24"/>
          <w:szCs w:val="24"/>
          <w:lang w:val="ru-RU"/>
        </w:rPr>
        <w:t>3:</w:t>
      </w:r>
    </w:p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66"/>
        <w:gridCol w:w="3991"/>
      </w:tblGrid>
      <w:tr>
        <w:trPr>
          <w:trHeight w:val="216" w:hRule="atLeast"/>
        </w:trPr>
        <w:tc>
          <w:tcPr>
            <w:tcW w:w="5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Дата и время регистрации заявки</w:t>
            </w:r>
          </w:p>
        </w:tc>
        <w:tc>
          <w:tcPr>
            <w:tcW w:w="3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>11.12.2025</w:t>
            </w:r>
          </w:p>
          <w:p>
            <w:pPr>
              <w:pStyle w:val="33"/>
              <w:jc w:val="center"/>
              <w:rPr>
                <w:b/>
                <w:bCs/>
                <w:iCs/>
                <w:sz w:val="24"/>
                <w:szCs w:val="24"/>
                <w:lang w:val="ru-RU"/>
              </w:rPr>
            </w:pPr>
            <w:r>
              <w:rPr>
                <w:bCs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iCs/>
                <w:sz w:val="24"/>
                <w:szCs w:val="24"/>
                <w:lang w:val="ru-RU"/>
              </w:rPr>
              <w:t>20:33</w:t>
            </w:r>
          </w:p>
        </w:tc>
      </w:tr>
    </w:tbl>
    <w:p>
      <w:pPr>
        <w:pStyle w:val="33"/>
        <w:ind w:firstLine="284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p>
      <w:pPr>
        <w:pStyle w:val="Normal"/>
        <w:ind w:firstLine="426" w:end="0"/>
        <w:jc w:val="both"/>
        <w:rPr/>
      </w:pPr>
      <w:r>
        <w:rPr>
          <w:bCs/>
          <w:iCs/>
        </w:rPr>
        <w:t xml:space="preserve">Предложение о цене договора </w:t>
      </w:r>
      <w:r>
        <w:rPr/>
        <w:t>– 5 046 396,00 рублей (Пять миллионов сорок шесть тысяч триста девяносто шесть рублей 00 копеек).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center"/>
        <w:rPr/>
      </w:pPr>
      <w:r>
        <w:rPr>
          <w:bCs/>
          <w:lang w:val="en-US"/>
        </w:rPr>
        <w:t>Наличие сведений и документов, предусмотренных документацией</w:t>
      </w:r>
      <w:r>
        <w:rPr>
          <w:bCs/>
        </w:rPr>
        <w:t xml:space="preserve"> </w:t>
      </w:r>
      <w:r>
        <w:rPr>
          <w:bCs/>
          <w:lang w:val="en-US"/>
        </w:rPr>
        <w:t>о проведении запроса предложений:</w:t>
      </w:r>
    </w:p>
    <w:p>
      <w:pPr>
        <w:pStyle w:val="33"/>
        <w:ind w:firstLine="426"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02"/>
        <w:gridCol w:w="2455"/>
      </w:tblGrid>
      <w:tr>
        <w:trPr>
          <w:trHeight w:val="216" w:hRule="atLeast"/>
        </w:trPr>
        <w:tc>
          <w:tcPr>
            <w:tcW w:w="6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Документы, представленные участником в соответствии с требованиями пункта 13 Информационной карты</w:t>
            </w:r>
          </w:p>
        </w:tc>
        <w:tc>
          <w:tcPr>
            <w:tcW w:w="2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3"/>
              <w:jc w:val="center"/>
              <w:rPr>
                <w:bCs/>
                <w:i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ru-RU"/>
              </w:rPr>
              <w:t>Соответствуют</w:t>
            </w:r>
          </w:p>
        </w:tc>
      </w:tr>
    </w:tbl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Комиссия рассмотрела заявки на участие в закупке на соответствие требованиям, установленным документацией о проведении запроса предложений в электронной форме, </w:t>
        <w:br/>
        <w:t>и приняла решение: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Допустить Участников № 1, № 2, № 3 к участию в запросе предложений в электронной форме.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Результаты рассмотрения и оценки комиссией заявок на участие в запросе предложений в электронной форме.</w:t>
      </w:r>
    </w:p>
    <w:p>
      <w:pPr>
        <w:pStyle w:val="Normal"/>
        <w:ind w:start="786" w:end="0"/>
        <w:jc w:val="both"/>
        <w:rPr/>
      </w:pPr>
      <w:r>
        <w:rPr/>
      </w:r>
    </w:p>
    <w:p>
      <w:pPr>
        <w:pStyle w:val="ConsPlusNormal1"/>
        <w:widowControl/>
        <w:tabs>
          <w:tab w:val="clear" w:pos="709"/>
          <w:tab w:val="left" w:pos="426" w:leader="none"/>
        </w:tabs>
        <w:bidi w:val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Сведения о решении каждого члена комиссии о присвоении заявкам на участие в запросе предложений в электронной форме</w:t>
      </w:r>
      <w:r>
        <w:rPr/>
        <w:t>, значений по каждому из критериев:</w:t>
      </w:r>
    </w:p>
    <w:tbl>
      <w:tblPr>
        <w:tblW w:w="100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71"/>
        <w:gridCol w:w="2126"/>
        <w:gridCol w:w="2835"/>
        <w:gridCol w:w="1701"/>
        <w:gridCol w:w="992"/>
      </w:tblGrid>
      <w:tr>
        <w:trPr>
          <w:trHeight w:val="554" w:hRule="atLeast"/>
        </w:trPr>
        <w:tc>
          <w:tcPr>
            <w:tcW w:w="23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  <w:lang w:val="en-US" w:eastAsia="en-US"/>
              </w:rPr>
              <w:t xml:space="preserve">Наименование участника </w:t>
            </w:r>
            <w:r>
              <w:rPr>
                <w:b/>
                <w:lang w:val="en-US" w:eastAsia="en-US"/>
              </w:rPr>
              <w:t>запросе предложений</w:t>
            </w:r>
            <w:r>
              <w:rPr>
                <w:lang w:val="en-US" w:eastAsia="en-US"/>
              </w:rPr>
              <w:t xml:space="preserve"> </w:t>
            </w:r>
          </w:p>
        </w:tc>
        <w:tc>
          <w:tcPr>
            <w:tcW w:w="66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ind w:start="-108" w:end="-37"/>
              <w:jc w:val="center"/>
              <w:rPr>
                <w:rFonts w:cs="Arial"/>
                <w:b/>
                <w:bCs/>
                <w:sz w:val="23"/>
                <w:szCs w:val="23"/>
                <w:highlight w:val="yellow"/>
              </w:rPr>
            </w:pPr>
            <w:r>
              <w:rPr>
                <w:b/>
                <w:bCs/>
              </w:rPr>
              <w:t>Оценка заявок на участие в запросе предложений</w:t>
            </w:r>
            <w:r>
              <w:rPr>
                <w:b/>
              </w:rPr>
              <w:t xml:space="preserve"> </w:t>
            </w:r>
            <w:r>
              <w:rPr>
                <w:b/>
                <w:bCs/>
              </w:rPr>
              <w:t>с учетом значимости критерия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ind w:start="-108" w:end="-129"/>
              <w:jc w:val="center"/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Итоговая оценка</w:t>
            </w:r>
          </w:p>
        </w:tc>
      </w:tr>
      <w:tr>
        <w:trPr>
          <w:trHeight w:val="1049" w:hRule="atLeast"/>
        </w:trPr>
        <w:tc>
          <w:tcPr>
            <w:tcW w:w="23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pPr>
            <w:r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ind w:start="-142" w:end="-143"/>
              <w:jc w:val="center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 xml:space="preserve">Критерий 1. </w:t>
            </w:r>
          </w:p>
          <w:p>
            <w:pPr>
              <w:pStyle w:val="Normal"/>
              <w:autoSpaceDE w:val="false"/>
              <w:ind w:start="-108" w:end="-107"/>
              <w:jc w:val="center"/>
              <w:rPr>
                <w:rFonts w:cs="Arial"/>
                <w:sz w:val="22"/>
                <w:szCs w:val="22"/>
                <w:lang w:val="en-US" w:eastAsia="en-US"/>
              </w:rPr>
            </w:pPr>
            <w:r>
              <w:rPr>
                <w:rFonts w:cs="Arial"/>
                <w:bCs/>
                <w:sz w:val="22"/>
                <w:szCs w:val="22"/>
              </w:rPr>
              <w:t>Цена договора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  <w:lang w:val="en-US" w:eastAsia="en-US"/>
              </w:rPr>
            </w:pPr>
            <w:r>
              <w:rPr>
                <w:rFonts w:cs="Arial"/>
                <w:sz w:val="23"/>
                <w:szCs w:val="23"/>
                <w:lang w:val="en-US" w:eastAsia="en-US"/>
              </w:rPr>
              <w:t xml:space="preserve">Критерий 2. </w:t>
            </w:r>
          </w:p>
          <w:p>
            <w:pPr>
              <w:pStyle w:val="Normal"/>
              <w:autoSpaceDE w:val="false"/>
              <w:jc w:val="center"/>
              <w:rPr>
                <w:rFonts w:cs="Arial"/>
                <w:sz w:val="22"/>
                <w:szCs w:val="22"/>
                <w:lang w:val="en-US" w:eastAsia="en-US"/>
              </w:rPr>
            </w:pPr>
            <w:r>
              <w:rPr>
                <w:rFonts w:cs="Arial"/>
                <w:sz w:val="22"/>
                <w:szCs w:val="22"/>
              </w:rPr>
              <w:t xml:space="preserve">Квалификация участника </w:t>
            </w:r>
            <w:r>
              <w:rPr>
                <w:sz w:val="22"/>
                <w:szCs w:val="22"/>
              </w:rPr>
              <w:t>запроса предложений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 xml:space="preserve">Критерий 3. </w:t>
            </w:r>
          </w:p>
          <w:p>
            <w:pPr>
              <w:pStyle w:val="Normal"/>
              <w:autoSpaceDE w:val="false"/>
              <w:ind w:start="-108" w:end="-108"/>
              <w:jc w:val="center"/>
              <w:rPr>
                <w:rFonts w:cs="Arial"/>
                <w:sz w:val="22"/>
                <w:szCs w:val="22"/>
                <w:highlight w:val="yellow"/>
                <w:lang w:val="en-US" w:eastAsia="en-US"/>
              </w:rPr>
            </w:pPr>
            <w:r>
              <w:rPr>
                <w:rFonts w:cs="Arial"/>
                <w:bCs/>
                <w:sz w:val="22"/>
                <w:szCs w:val="22"/>
              </w:rPr>
              <w:t>Достаточность ресурсов и добросовестность участника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pPr>
            <w:r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r>
          </w:p>
        </w:tc>
      </w:tr>
      <w:tr>
        <w:trPr>
          <w:trHeight w:val="1107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rFonts w:cs="Arial"/>
                <w:sz w:val="23"/>
                <w:szCs w:val="23"/>
                <w:lang w:val="en-US" w:eastAsia="en-US"/>
              </w:rPr>
              <w:t xml:space="preserve">Значимость критериев оценки заявок на участие в </w:t>
            </w:r>
            <w:r>
              <w:rPr>
                <w:lang w:val="en-US" w:eastAsia="en-US"/>
              </w:rPr>
              <w:t>запросе предложений в электронной форме</w:t>
            </w:r>
            <w:r>
              <w:rPr>
                <w:rFonts w:cs="Arial"/>
                <w:sz w:val="23"/>
                <w:szCs w:val="23"/>
                <w:lang w:val="en-US" w:eastAsia="en-US"/>
              </w:rPr>
              <w:t>, %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Cs/>
                <w:sz w:val="23"/>
                <w:szCs w:val="23"/>
                <w:lang w:val="en-US"/>
              </w:rPr>
            </w:pPr>
            <w:r>
              <w:rPr>
                <w:rFonts w:cs="Arial"/>
                <w:bCs/>
                <w:iCs/>
                <w:sz w:val="23"/>
                <w:szCs w:val="23"/>
              </w:rPr>
              <w:t>Ка</w:t>
            </w:r>
            <w:r>
              <w:rPr>
                <w:rFonts w:cs="Arial"/>
                <w:bCs/>
                <w:iCs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rFonts w:cs="Arial"/>
                <w:sz w:val="23"/>
                <w:szCs w:val="23"/>
              </w:rPr>
              <w:t xml:space="preserve"> = 0,40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360" w:leader="none"/>
                <w:tab w:val="left" w:pos="1980" w:leader="none"/>
              </w:tabs>
              <w:spacing w:before="0" w:after="0"/>
              <w:contextualSpacing/>
              <w:jc w:val="center"/>
              <w:rPr/>
            </w:pPr>
            <w:r>
              <w:rPr>
                <w:bCs/>
                <w:iCs/>
                <w:sz w:val="23"/>
                <w:szCs w:val="23"/>
              </w:rPr>
              <w:t>К</w:t>
            </w:r>
            <w:r>
              <w:rPr>
                <w:bCs/>
                <w:iCs/>
                <w:sz w:val="23"/>
                <w:szCs w:val="23"/>
                <w:lang w:val="en-US"/>
              </w:rPr>
              <w:t>c</w:t>
            </w:r>
            <w:r>
              <w:rPr>
                <w:bCs/>
                <w:iCs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bCs/>
                <w:i/>
                <w:iCs/>
                <w:sz w:val="23"/>
                <w:szCs w:val="23"/>
              </w:rPr>
              <w:t xml:space="preserve"> = </w:t>
            </w:r>
            <w:r>
              <w:rPr>
                <w:sz w:val="23"/>
                <w:szCs w:val="23"/>
              </w:rPr>
              <w:t>0,40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Cs/>
                <w:iCs/>
                <w:sz w:val="23"/>
                <w:szCs w:val="23"/>
                <w:highlight w:val="yellow"/>
              </w:rPr>
            </w:pPr>
            <w:r>
              <w:rPr>
                <w:rFonts w:cs="Arial"/>
                <w:bCs/>
                <w:iCs/>
                <w:sz w:val="23"/>
                <w:szCs w:val="23"/>
              </w:rPr>
              <w:t>К</w:t>
            </w:r>
            <w:r>
              <w:rPr>
                <w:rFonts w:cs="Arial"/>
                <w:bCs/>
                <w:iCs/>
                <w:sz w:val="23"/>
                <w:szCs w:val="23"/>
                <w:lang w:val="en-US"/>
              </w:rPr>
              <w:t>f</w:t>
            </w:r>
            <w:r>
              <w:rPr>
                <w:rFonts w:cs="Arial"/>
                <w:bCs/>
                <w:iCs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rFonts w:cs="Arial"/>
                <w:sz w:val="23"/>
                <w:szCs w:val="23"/>
              </w:rPr>
              <w:t xml:space="preserve"> = 0,20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Cs/>
                <w:i/>
                <w:i/>
                <w:iCs/>
                <w:sz w:val="23"/>
                <w:szCs w:val="23"/>
                <w:highlight w:val="yellow"/>
              </w:rPr>
            </w:pPr>
            <w:r>
              <w:rPr>
                <w:rFonts w:cs="Arial"/>
                <w:bCs/>
                <w:i/>
                <w:iCs/>
                <w:sz w:val="23"/>
                <w:szCs w:val="23"/>
              </w:rPr>
              <w:t>Q = Rai х Каi + Rci х Ксi+ Rfi х Кfi</w:t>
            </w:r>
          </w:p>
        </w:tc>
      </w:tr>
      <w:tr>
        <w:trPr>
          <w:trHeight w:val="1212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pPr>
            <w:r>
              <w:rPr>
                <w:rFonts w:cs="Arial"/>
                <w:sz w:val="23"/>
                <w:szCs w:val="23"/>
                <w:lang w:val="en-US" w:eastAsia="en-US"/>
              </w:rPr>
              <w:t>Формула для расчета баллов по критерию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pPr w:vertAnchor="text" w:horzAnchor="page" w:leftFromText="180" w:rightFromText="180" w:tblpX="1148" w:tblpY="-197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67"/>
            </w:tblGrid>
            <w:tr>
              <w:trPr>
                <w:trHeight w:val="159" w:hRule="atLeast"/>
              </w:trPr>
              <w:tc>
                <w:tcPr>
                  <w:tcW w:w="567" w:type="dxa"/>
                  <w:tcBorders/>
                </w:tcPr>
                <w:p>
                  <w:pPr>
                    <w:pStyle w:val="Normal"/>
                    <w:widowControl w:val="false"/>
                    <w:snapToGrid w:val="false"/>
                    <w:ind w:end="2"/>
                    <w:rPr>
                      <w:i/>
                      <w:i/>
                      <w:sz w:val="23"/>
                      <w:szCs w:val="23"/>
                      <w:highlight w:val="yellow"/>
                    </w:rPr>
                  </w:pPr>
                  <w:r>
                    <w:rPr>
                      <w:i/>
                      <w:sz w:val="23"/>
                      <w:szCs w:val="23"/>
                      <w:highlight w:val="yellow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pPr w:vertAnchor="text" w:horzAnchor="margin" w:tblpXSpec="left" w:rightFromText="180" w:tblpY="9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61"/>
              <w:gridCol w:w="909"/>
              <w:gridCol w:w="1145"/>
            </w:tblGrid>
            <w:tr>
              <w:trPr>
                <w:trHeight w:val="215" w:hRule="atLeast"/>
              </w:trPr>
              <w:tc>
                <w:tcPr>
                  <w:tcW w:w="561" w:type="dxa"/>
                  <w:vMerge w:val="restart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ind w:hanging="27" w:start="27" w:end="-108"/>
                    <w:rPr>
                      <w:i/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lang w:val="en-US"/>
                    </w:rPr>
                    <w:t>R</w:t>
                  </w:r>
                  <w:r>
                    <w:rPr>
                      <w:i/>
                      <w:sz w:val="20"/>
                      <w:szCs w:val="20"/>
                      <w:vertAlign w:val="subscript"/>
                      <w:lang w:val="en-US"/>
                    </w:rPr>
                    <w:t>ai</w:t>
                  </w:r>
                  <w:r>
                    <w:rPr>
                      <w:i/>
                      <w:sz w:val="20"/>
                      <w:szCs w:val="20"/>
                      <w:vertAlign w:val="subscript"/>
                    </w:rPr>
                    <w:t>=</w:t>
                  </w:r>
                </w:p>
              </w:tc>
              <w:tc>
                <w:tcPr>
                  <w:tcW w:w="909" w:type="dxa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napToGrid w:val="false"/>
                    <w:ind w:hanging="108" w:end="-108"/>
                    <w:jc w:val="center"/>
                    <w:rPr>
                      <w:i/>
                      <w:i/>
                      <w:sz w:val="20"/>
                      <w:szCs w:val="20"/>
                      <w:lang w:val="en-US"/>
                    </w:rPr>
                  </w:pPr>
                  <w:r>
                    <w:rPr>
                      <w:i/>
                      <w:sz w:val="20"/>
                      <w:szCs w:val="20"/>
                      <w:lang w:val="en-US"/>
                    </w:rPr>
                  </w:r>
                </w:p>
                <w:p>
                  <w:pPr>
                    <w:pStyle w:val="Normal"/>
                    <w:widowControl w:val="false"/>
                    <w:ind w:hanging="108" w:end="-108"/>
                    <w:jc w:val="center"/>
                    <w:rPr/>
                  </w:pPr>
                  <w:r>
                    <w:rPr>
                      <w:i/>
                      <w:sz w:val="20"/>
                      <w:szCs w:val="20"/>
                      <w:lang w:val="en-US"/>
                    </w:rPr>
                    <w:t>Amax</w:t>
                  </w:r>
                  <w:r>
                    <w:rPr>
                      <w:i/>
                      <w:sz w:val="20"/>
                      <w:szCs w:val="20"/>
                    </w:rPr>
                    <w:t>-25%</w:t>
                  </w:r>
                </w:p>
              </w:tc>
              <w:tc>
                <w:tcPr>
                  <w:tcW w:w="1145" w:type="dxa"/>
                  <w:vMerge w:val="restart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ind w:end="2"/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х 100</w:t>
                  </w:r>
                </w:p>
              </w:tc>
            </w:tr>
            <w:tr>
              <w:trPr>
                <w:trHeight w:val="130" w:hRule="atLeast"/>
              </w:trPr>
              <w:tc>
                <w:tcPr>
                  <w:tcW w:w="561" w:type="dxa"/>
                  <w:vMerge w:val="continue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i/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</w:r>
                </w:p>
              </w:tc>
              <w:tc>
                <w:tcPr>
                  <w:tcW w:w="909" w:type="dxa"/>
                  <w:tcBorders>
                    <w:top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end="2"/>
                    <w:jc w:val="center"/>
                    <w:rPr>
                      <w:i/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lang w:val="en-US"/>
                    </w:rPr>
                    <w:t>A</w:t>
                  </w:r>
                  <w:r>
                    <w:rPr>
                      <w:bCs/>
                      <w:i/>
                      <w:iCs/>
                      <w:sz w:val="20"/>
                      <w:szCs w:val="20"/>
                      <w:lang w:val="en-US"/>
                    </w:rPr>
                    <w:t>i</w:t>
                  </w:r>
                </w:p>
              </w:tc>
              <w:tc>
                <w:tcPr>
                  <w:tcW w:w="1145" w:type="dxa"/>
                  <w:vMerge w:val="continue"/>
                  <w:tcBorders>
                    <w:bottom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rPr>
                      <w:i/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autoSpaceDE w:val="false"/>
              <w:ind w:hanging="75" w:end="-108"/>
              <w:rPr>
                <w:rFonts w:cs="Arial"/>
                <w:bCs/>
                <w:sz w:val="23"/>
                <w:szCs w:val="23"/>
                <w:highlight w:val="yellow"/>
                <w:lang w:val="en-US"/>
              </w:rPr>
            </w:pPr>
            <w:r>
              <w:rPr>
                <w:rFonts w:cs="Arial"/>
                <w:bCs/>
                <w:sz w:val="23"/>
                <w:szCs w:val="23"/>
                <w:highlight w:val="yellow"/>
                <w:lang w:val="en-US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708" w:leader="none"/>
                <w:tab w:val="left" w:pos="1980" w:leader="none"/>
              </w:tabs>
              <w:spacing w:before="0" w:after="0"/>
              <w:ind w:hanging="108" w:end="0"/>
              <w:contextualSpacing/>
              <w:jc w:val="center"/>
              <w:rPr>
                <w:sz w:val="23"/>
                <w:szCs w:val="23"/>
                <w:lang w:val="en-US" w:eastAsia="en-US"/>
              </w:rPr>
            </w:pPr>
            <w:r>
              <w:rPr>
                <w:bCs/>
                <w:i/>
                <w:iCs/>
                <w:sz w:val="23"/>
                <w:szCs w:val="23"/>
                <w:lang w:val="en-US"/>
              </w:rPr>
              <w:t>Rci =</w:t>
            </w:r>
            <w:r>
              <w:rPr>
                <w:sz w:val="23"/>
                <w:szCs w:val="23"/>
                <w:lang w:val="en-US"/>
              </w:rPr>
              <w:t xml:space="preserve"> </w:t>
            </w:r>
            <w:r>
              <w:rPr>
                <w:i/>
                <w:sz w:val="23"/>
                <w:szCs w:val="23"/>
                <w:lang w:val="en-US"/>
              </w:rPr>
              <w:t>C</w:t>
            </w:r>
            <w:r>
              <w:rPr>
                <w:i/>
                <w:sz w:val="23"/>
                <w:szCs w:val="23"/>
                <w:vertAlign w:val="superscript"/>
                <w:lang w:val="en-US"/>
              </w:rPr>
              <w:t>i</w:t>
            </w:r>
            <w:r>
              <w:rPr>
                <w:i/>
                <w:sz w:val="23"/>
                <w:szCs w:val="23"/>
                <w:vertAlign w:val="subscript"/>
                <w:lang w:val="en-US"/>
              </w:rPr>
              <w:t xml:space="preserve">1 </w:t>
            </w:r>
            <w:r>
              <w:rPr>
                <w:sz w:val="23"/>
                <w:szCs w:val="23"/>
                <w:lang w:val="en-US" w:eastAsia="en-US"/>
              </w:rPr>
              <w:t>+</w:t>
            </w:r>
            <w:r>
              <w:rPr>
                <w:i/>
                <w:sz w:val="23"/>
                <w:szCs w:val="23"/>
                <w:lang w:val="en-US"/>
              </w:rPr>
              <w:t xml:space="preserve"> C</w:t>
            </w:r>
            <w:r>
              <w:rPr>
                <w:i/>
                <w:sz w:val="23"/>
                <w:szCs w:val="23"/>
                <w:vertAlign w:val="superscript"/>
                <w:lang w:val="en-US"/>
              </w:rPr>
              <w:t>i</w:t>
            </w:r>
            <w:r>
              <w:rPr>
                <w:i/>
                <w:sz w:val="23"/>
                <w:szCs w:val="23"/>
                <w:vertAlign w:val="subscript"/>
                <w:lang w:val="en-US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i/>
                <w:i/>
                <w:sz w:val="23"/>
                <w:szCs w:val="23"/>
                <w:lang w:val="en-US"/>
              </w:rPr>
            </w:pPr>
            <w:r>
              <w:rPr>
                <w:rFonts w:cs="Arial"/>
                <w:i/>
                <w:sz w:val="23"/>
                <w:szCs w:val="23"/>
                <w:lang w:val="en-US"/>
              </w:rPr>
              <w:t>Rf</w:t>
            </w:r>
            <w:r>
              <w:rPr>
                <w:rFonts w:cs="Arial"/>
                <w:i/>
                <w:sz w:val="23"/>
                <w:szCs w:val="23"/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Cs/>
                <w:i/>
                <w:i/>
                <w:iCs/>
                <w:sz w:val="23"/>
                <w:szCs w:val="23"/>
                <w:highlight w:val="yellow"/>
                <w:lang w:val="en-US"/>
              </w:rPr>
            </w:pPr>
            <w:r>
              <w:rPr>
                <w:rFonts w:cs="Arial"/>
                <w:bCs/>
                <w:i/>
                <w:iCs/>
                <w:sz w:val="23"/>
                <w:szCs w:val="23"/>
                <w:highlight w:val="yellow"/>
                <w:lang w:val="en-US"/>
              </w:rPr>
            </w:r>
          </w:p>
        </w:tc>
      </w:tr>
      <w:tr>
        <w:trPr>
          <w:trHeight w:val="549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  <w:lang w:val="en-US" w:eastAsia="en-US"/>
              </w:rPr>
            </w:pPr>
            <w:r>
              <w:rPr>
                <w:rFonts w:cs="Arial"/>
                <w:sz w:val="23"/>
                <w:szCs w:val="23"/>
                <w:lang w:val="en-US" w:eastAsia="en-US"/>
              </w:rPr>
              <w:t>Итоговый рейтинг заявки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i/>
                <w:sz w:val="23"/>
                <w:szCs w:val="23"/>
                <w:lang w:val="en-US"/>
              </w:rPr>
              <w:t>Ra</w:t>
            </w:r>
            <w:r>
              <w:rPr>
                <w:rFonts w:cs="Arial"/>
                <w:i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rFonts w:cs="Arial"/>
                <w:i/>
                <w:sz w:val="23"/>
                <w:szCs w:val="23"/>
                <w:lang w:val="en-US"/>
              </w:rPr>
              <w:t>×Ka</w:t>
            </w:r>
            <w:r>
              <w:rPr>
                <w:rFonts w:cs="Arial"/>
                <w:i/>
                <w:sz w:val="23"/>
                <w:szCs w:val="23"/>
                <w:vertAlign w:val="subscript"/>
                <w:lang w:val="en-US"/>
              </w:rPr>
              <w:t>i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360" w:leader="none"/>
                <w:tab w:val="left" w:pos="1980" w:leader="none"/>
              </w:tabs>
              <w:spacing w:before="0" w:after="0"/>
              <w:contextualSpacing/>
              <w:jc w:val="center"/>
              <w:rPr>
                <w:i/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Rc</w:t>
            </w:r>
            <w:r>
              <w:rPr>
                <w:i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i/>
                <w:sz w:val="23"/>
                <w:szCs w:val="23"/>
                <w:lang w:val="en-US"/>
              </w:rPr>
              <w:t>×</w:t>
            </w:r>
            <w:r>
              <w:rPr>
                <w:i/>
                <w:sz w:val="23"/>
                <w:szCs w:val="23"/>
              </w:rPr>
              <w:t>Кс</w:t>
            </w:r>
            <w:r>
              <w:rPr>
                <w:i/>
                <w:sz w:val="23"/>
                <w:szCs w:val="23"/>
                <w:vertAlign w:val="subscript"/>
                <w:lang w:val="en-US"/>
              </w:rPr>
              <w:t>i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i/>
                <w:i/>
                <w:sz w:val="23"/>
                <w:szCs w:val="23"/>
                <w:lang w:val="en-US"/>
              </w:rPr>
            </w:pPr>
            <w:r>
              <w:rPr>
                <w:rFonts w:cs="Arial"/>
                <w:i/>
                <w:sz w:val="23"/>
                <w:szCs w:val="23"/>
                <w:lang w:val="en-US"/>
              </w:rPr>
              <w:t>Rf</w:t>
            </w:r>
            <w:r>
              <w:rPr>
                <w:rFonts w:cs="Arial"/>
                <w:i/>
                <w:sz w:val="23"/>
                <w:szCs w:val="23"/>
                <w:vertAlign w:val="subscript"/>
                <w:lang w:val="en-US"/>
              </w:rPr>
              <w:t>i</w:t>
            </w:r>
            <w:r>
              <w:rPr>
                <w:rFonts w:cs="Arial"/>
                <w:i/>
                <w:sz w:val="23"/>
                <w:szCs w:val="23"/>
                <w:lang w:val="en-US"/>
              </w:rPr>
              <w:t>×Kf</w:t>
            </w:r>
            <w:r>
              <w:rPr>
                <w:rFonts w:cs="Arial"/>
                <w:i/>
                <w:sz w:val="23"/>
                <w:szCs w:val="23"/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cs="Arial"/>
                <w:bCs/>
                <w:i/>
                <w:i/>
                <w:iCs/>
                <w:sz w:val="23"/>
                <w:szCs w:val="23"/>
                <w:highlight w:val="yellow"/>
                <w:lang w:val="en-US"/>
              </w:rPr>
            </w:pPr>
            <w:r>
              <w:rPr>
                <w:rFonts w:cs="Arial"/>
                <w:bCs/>
                <w:i/>
                <w:iCs/>
                <w:sz w:val="23"/>
                <w:szCs w:val="23"/>
                <w:highlight w:val="yellow"/>
                <w:lang w:val="en-US"/>
              </w:rPr>
            </w:r>
          </w:p>
        </w:tc>
      </w:tr>
      <w:tr>
        <w:trPr>
          <w:trHeight w:val="397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37" w:start="-143" w:end="-108"/>
              <w:jc w:val="center"/>
              <w:rPr>
                <w:b/>
                <w:bCs/>
                <w:iCs/>
                <w:sz w:val="23"/>
                <w:szCs w:val="23"/>
              </w:rPr>
            </w:pPr>
            <w:r>
              <w:rPr>
                <w:b/>
                <w:bCs/>
                <w:iCs/>
                <w:sz w:val="23"/>
                <w:szCs w:val="23"/>
              </w:rPr>
              <w:t>Участник № 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</w:rPr>
            </w:pPr>
            <w:r>
              <w:rPr>
                <w:rFonts w:cs="Arial"/>
                <w:b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</w:rPr>
              <w:t>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  <w:lang w:val="en-US" w:eastAsia="en-US"/>
              </w:rPr>
              <w:t>100,00</w:t>
            </w:r>
          </w:p>
        </w:tc>
      </w:tr>
      <w:tr>
        <w:trPr>
          <w:trHeight w:val="70" w:hRule="atLeast"/>
        </w:trPr>
        <w:tc>
          <w:tcPr>
            <w:tcW w:w="100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sz w:val="23"/>
                <w:szCs w:val="23"/>
                <w:highlight w:val="yellow"/>
                <w:lang w:val="en-US" w:eastAsia="en-US"/>
              </w:rPr>
            </w:pPr>
            <w:r>
              <w:rPr>
                <w:rFonts w:cs="Arial"/>
                <w:sz w:val="23"/>
                <w:szCs w:val="23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15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Прокофьев А.Е.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  <w:p>
            <w:pPr>
              <w:pStyle w:val="Normal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50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Григорьян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279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Потапова Н.М.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50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Красильникова Ю.В.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50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Мазнева Н.Н.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50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Потапова Т.А.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50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Чечет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40,00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403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6" w:start="-143" w:end="-108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Участник № 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</w:rPr>
              <w:t>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  <w:lang w:val="en-US" w:eastAsia="en-US"/>
              </w:rPr>
              <w:t>93,37</w:t>
            </w:r>
          </w:p>
        </w:tc>
      </w:tr>
      <w:tr>
        <w:trPr>
          <w:trHeight w:val="70" w:hRule="atLeast"/>
        </w:trPr>
        <w:tc>
          <w:tcPr>
            <w:tcW w:w="100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Прокофьев А.Е.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Григорьян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Потапова Н.М.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Красильникова Ю.В.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Мазнева Н.Н.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Потапова Т.А.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Чечет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33,37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6" w:start="-143" w:end="-108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Участник № 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</w:rPr>
              <w:t>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>
              <w:rPr>
                <w:rFonts w:cs="Arial"/>
                <w:b/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cs="Arial"/>
                <w:b/>
                <w:sz w:val="23"/>
                <w:szCs w:val="23"/>
                <w:lang w:val="en-US" w:eastAsia="en-US"/>
              </w:rPr>
            </w:pPr>
            <w:r>
              <w:rPr>
                <w:rFonts w:cs="Arial"/>
                <w:b/>
                <w:sz w:val="23"/>
                <w:szCs w:val="23"/>
                <w:lang w:val="en-US" w:eastAsia="en-US"/>
              </w:rPr>
              <w:t>91,58</w:t>
            </w:r>
          </w:p>
        </w:tc>
      </w:tr>
      <w:tr>
        <w:trPr>
          <w:trHeight w:val="115" w:hRule="atLeast"/>
        </w:trPr>
        <w:tc>
          <w:tcPr>
            <w:tcW w:w="100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 w:eastAsia="en-US"/>
              </w:rPr>
              <w:t>Сведения о решении каждого члена комиссии:</w:t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Прокофьев А.Е.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Григорьян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Потапова Н.М.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Красильникова Ю.В.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Мазнева Н.Н.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Потапова Т.А.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  <w:tr>
        <w:trPr>
          <w:trHeight w:val="115" w:hRule="atLeast"/>
        </w:trPr>
        <w:tc>
          <w:tcPr>
            <w:tcW w:w="2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>Чечет А.А.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31,58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(50,00+50,00)х0,40=40,00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20,00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</w:r>
          </w:p>
        </w:tc>
      </w:tr>
    </w:tbl>
    <w:p>
      <w:pPr>
        <w:pStyle w:val="Normal"/>
        <w:ind w:firstLine="709" w:end="0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firstLine="709" w:end="0"/>
        <w:jc w:val="both"/>
        <w:rPr/>
      </w:pPr>
      <w:r>
        <w:rPr>
          <w:lang w:val="en-US" w:eastAsia="en-US"/>
        </w:rPr>
        <w:t xml:space="preserve">По результатам </w:t>
      </w:r>
      <w:r>
        <w:rPr>
          <w:bCs/>
          <w:lang w:val="en-US" w:eastAsia="en-US"/>
        </w:rPr>
        <w:t>рассмотрения</w:t>
      </w:r>
      <w:r>
        <w:rPr>
          <w:lang w:val="en-US" w:eastAsia="en-US"/>
        </w:rPr>
        <w:t xml:space="preserve"> и оценки заявок на участие в запросе предложений в</w:t>
      </w:r>
      <w:r>
        <w:rPr/>
        <w:t xml:space="preserve"> электронной форме, комиссия принимает решение о присвоении порядкового номера каждой заявке на участие в запросе предложений в электронной форме по мере уменьшения степени выгодности содержащихся в них условий исполнения договора.</w:t>
      </w:r>
    </w:p>
    <w:p>
      <w:pPr>
        <w:pStyle w:val="Style25"/>
        <w:ind w:firstLine="426" w:start="0" w:end="0"/>
        <w:rPr>
          <w:bCs/>
        </w:rPr>
      </w:pPr>
      <w:r>
        <w:rPr>
          <w:bCs/>
        </w:rPr>
      </w:r>
    </w:p>
    <w:p>
      <w:pPr>
        <w:pStyle w:val="Style25"/>
        <w:ind w:firstLine="426" w:start="0" w:end="0"/>
        <w:rPr>
          <w:bCs/>
        </w:rPr>
      </w:pPr>
      <w:r>
        <w:rPr>
          <w:bCs/>
        </w:rPr>
        <w:t>Комиссия приняла решение:</w:t>
      </w:r>
    </w:p>
    <w:p>
      <w:pPr>
        <w:pStyle w:val="Style25"/>
        <w:ind w:firstLine="426" w:start="0" w:end="0"/>
        <w:jc w:val="both"/>
        <w:rPr>
          <w:bCs/>
        </w:rPr>
      </w:pPr>
      <w:r>
        <w:rPr/>
        <w:t>Присвоить первый номер заявке и признать победителем запроса предложений в электронной форме Участника № 1.</w:t>
      </w:r>
    </w:p>
    <w:p>
      <w:pPr>
        <w:pStyle w:val="Style25"/>
        <w:ind w:firstLine="426" w:start="0" w:end="0"/>
        <w:jc w:val="both"/>
        <w:rPr/>
      </w:pPr>
      <w:r>
        <w:rPr>
          <w:bCs/>
        </w:rPr>
        <w:t xml:space="preserve">Второй номер присвоить заявке, </w:t>
      </w:r>
      <w:r>
        <w:rPr/>
        <w:t>поступившей от Участника № 2.</w:t>
      </w:r>
    </w:p>
    <w:p>
      <w:pPr>
        <w:pStyle w:val="Style25"/>
        <w:ind w:firstLine="426" w:start="0" w:end="0"/>
        <w:jc w:val="both"/>
        <w:rPr/>
      </w:pPr>
      <w:r>
        <w:rPr/>
        <w:t>Третий номер присвоить заявке, поступившей от Участника № 3.</w:t>
      </w:r>
    </w:p>
    <w:p>
      <w:pPr>
        <w:pStyle w:val="Style25"/>
        <w:ind w:firstLine="426" w:start="0" w:end="0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"/>
        <w:tabs>
          <w:tab w:val="clear" w:pos="709"/>
          <w:tab w:val="left" w:pos="0" w:leader="none"/>
        </w:tabs>
        <w:ind w:firstLine="426" w:end="-1"/>
        <w:jc w:val="both"/>
        <w:rPr/>
      </w:pPr>
      <w:r>
        <w:rPr/>
        <w:t>Рекомендовать заказчику направить победителю проект договора, который составляется путём включения условий исполнения договора, предложенных победителем запроса предложений в электронной форме.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autoSpaceDE w:val="false"/>
        <w:ind w:firstLine="567" w:end="0"/>
        <w:jc w:val="both"/>
        <w:rPr/>
      </w:pPr>
      <w:r>
        <w:rPr/>
        <w:t xml:space="preserve">Настоящий протокол подлежит размещению в единой информационной системе в сфере закупок и на сайте </w:t>
      </w:r>
      <w:r>
        <w:rPr>
          <w:szCs w:val="22"/>
        </w:rPr>
        <w:t xml:space="preserve">электронной площадки </w:t>
      </w:r>
      <w:hyperlink r:id="rId2">
        <w:r>
          <w:rPr>
            <w:rStyle w:val="Hyperlink"/>
            <w:szCs w:val="22"/>
            <w:lang w:val="en-US"/>
          </w:rPr>
          <w:t>www</w:t>
        </w:r>
        <w:r>
          <w:rPr>
            <w:rStyle w:val="Hyperlink"/>
            <w:szCs w:val="22"/>
          </w:rPr>
          <w:t>.rts-tender.ru</w:t>
        </w:r>
      </w:hyperlink>
      <w:r>
        <w:rPr/>
        <w:t>.</w:t>
      </w:r>
    </w:p>
    <w:p>
      <w:pPr>
        <w:pStyle w:val="Normal"/>
        <w:autoSpaceDE w:val="false"/>
        <w:ind w:firstLine="284" w:end="0"/>
        <w:jc w:val="both"/>
        <w:rPr/>
      </w:pPr>
      <w:r>
        <w:rPr/>
      </w:r>
    </w:p>
    <w:p>
      <w:pPr>
        <w:pStyle w:val="Normal"/>
        <w:autoSpaceDE w:val="false"/>
        <w:ind w:firstLine="284" w:end="0"/>
        <w:jc w:val="both"/>
        <w:rPr/>
      </w:pPr>
      <w:r>
        <w:rPr/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8"/>
        <w:gridCol w:w="2525"/>
        <w:gridCol w:w="2484"/>
      </w:tblGrid>
      <w:tr>
        <w:trPr>
          <w:trHeight w:val="23" w:hRule="atLeast"/>
        </w:trPr>
        <w:tc>
          <w:tcPr>
            <w:tcW w:w="4148" w:type="dxa"/>
            <w:tcBorders/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Председатель комиссии:</w:t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___________________</w:t>
            </w:r>
          </w:p>
        </w:tc>
        <w:tc>
          <w:tcPr>
            <w:tcW w:w="2484" w:type="dxa"/>
            <w:tcBorders/>
          </w:tcPr>
          <w:p>
            <w:pPr>
              <w:pStyle w:val="Normal"/>
              <w:autoSpaceDE w:val="false"/>
              <w:jc w:val="both"/>
              <w:rPr>
                <w:bCs/>
              </w:rPr>
            </w:pPr>
            <w:r>
              <w:rPr>
                <w:bCs/>
              </w:rPr>
              <w:t>А.Е. Прокофьев</w:t>
            </w:r>
          </w:p>
        </w:tc>
      </w:tr>
      <w:tr>
        <w:trPr>
          <w:trHeight w:val="364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Заместитель Председателя комиссии:</w:t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А.А. Григорьян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Секретарь комиссии:</w:t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Н.М. Потапова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Члены комиссии:</w:t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Ю.В. Красильникова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  <w:p>
            <w:pPr>
              <w:pStyle w:val="Normal"/>
              <w:autoSpaceDE w:val="false"/>
              <w:rPr/>
            </w:pPr>
            <w:r>
              <w:rPr/>
              <w:t>Н.Н. Мазнева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rPr/>
            </w:pPr>
            <w:r>
              <w:rPr/>
              <w:t>Т.А. Потапова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___________________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rPr>
                <w:rFonts w:cs="Arial"/>
                <w:bCs/>
                <w:sz w:val="23"/>
                <w:szCs w:val="23"/>
              </w:rPr>
            </w:pPr>
            <w:r>
              <w:rPr>
                <w:rFonts w:cs="Arial"/>
                <w:bCs/>
                <w:sz w:val="23"/>
                <w:szCs w:val="23"/>
              </w:rPr>
              <w:t xml:space="preserve">А.А. Чечет </w:t>
            </w:r>
          </w:p>
        </w:tc>
      </w:tr>
      <w:tr>
        <w:trPr>
          <w:trHeight w:val="23" w:hRule="atLeast"/>
        </w:trPr>
        <w:tc>
          <w:tcPr>
            <w:tcW w:w="414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2525" w:type="dxa"/>
            <w:tcBorders/>
          </w:tcPr>
          <w:p>
            <w:pPr>
              <w:pStyle w:val="Normal"/>
              <w:autoSpaceDE w:val="false"/>
              <w:jc w:val="center"/>
              <w:rPr/>
            </w:pPr>
            <w:r>
              <w:rPr>
                <w:i/>
                <w:iCs/>
                <w:vertAlign w:val="superscript"/>
              </w:rPr>
              <w:t>(Подпись)</w:t>
            </w:r>
            <w:r>
              <w:rPr/>
              <w:t xml:space="preserve"> </w:t>
            </w:r>
          </w:p>
        </w:tc>
        <w:tc>
          <w:tcPr>
            <w:tcW w:w="2484" w:type="dxa"/>
            <w:tcBorders/>
            <w:vAlign w:val="bottom"/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</w:tr>
    </w:tbl>
    <w:p>
      <w:pPr>
        <w:pStyle w:val="33"/>
        <w:ind w:end="-1"/>
        <w:jc w:val="both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418" w:right="849" w:gutter="0" w:header="426" w:top="851" w:footer="124" w:bottom="9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227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>
      <w:rFonts w:cs="Times New Roman"/>
    </w:rPr>
  </w:style>
  <w:style w:type="character" w:styleId="WW8Num10z0">
    <w:name w:val="WW8Num10z0"/>
    <w:qFormat/>
    <w:rPr>
      <w:rFonts w:cs="Times New Roman"/>
      <w:b/>
      <w:bCs/>
    </w:rPr>
  </w:style>
  <w:style w:type="character" w:styleId="WW8Num10z1">
    <w:name w:val="WW8Num10z1"/>
    <w:qFormat/>
    <w:rPr>
      <w:rFonts w:cs="Times New Roman"/>
    </w:rPr>
  </w:style>
  <w:style w:type="character" w:styleId="WW8Num12z0">
    <w:name w:val="WW8Num12z0"/>
    <w:qFormat/>
    <w:rPr>
      <w:rFonts w:cs="Times New Roman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eastAsia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Times New Roman" w:hAnsi="Times New Roman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Times New Roman" w:hAnsi="Times New Roman" w:eastAsia="Times New Roman" w:cs="Times New Roman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Times New Roman" w:hAnsi="Times New Roman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6z0">
    <w:name w:val="WW8Num36z0"/>
    <w:qFormat/>
    <w:rPr>
      <w:rFonts w:cs="Times New Roman"/>
    </w:rPr>
  </w:style>
  <w:style w:type="character" w:styleId="WW8Num36z1">
    <w:name w:val="WW8Num36z1"/>
    <w:qFormat/>
    <w:rPr>
      <w:rFonts w:cs="Times New Roman"/>
    </w:rPr>
  </w:style>
  <w:style w:type="character" w:styleId="WW8Num37z0">
    <w:name w:val="WW8Num37z0"/>
    <w:qFormat/>
    <w:rPr>
      <w:rFonts w:ascii="Times New Roman" w:hAnsi="Times New Roman" w:eastAsia="Times New Roman" w:cs="Times New Roman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cs="Times New Roman"/>
      <w:b/>
    </w:rPr>
  </w:style>
  <w:style w:type="character" w:styleId="WW8Num38z1">
    <w:name w:val="WW8Num38z1"/>
    <w:qFormat/>
    <w:rPr>
      <w:rFonts w:cs="Times New Roman"/>
    </w:rPr>
  </w:style>
  <w:style w:type="character" w:styleId="WW8Num39z0">
    <w:name w:val="WW8Num39z0"/>
    <w:qFormat/>
    <w:rPr>
      <w:rFonts w:ascii="Times New Roman" w:hAnsi="Times New Roman" w:eastAsia="Times New Roman" w:cs="Times New Roman"/>
    </w:rPr>
  </w:style>
  <w:style w:type="character" w:styleId="WW8Num39z1">
    <w:name w:val="WW8Num39z1"/>
    <w:qFormat/>
    <w:rPr>
      <w:rFonts w:cs="Times New Roman"/>
      <w:b/>
      <w:bCs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39z4">
    <w:name w:val="WW8Num39z4"/>
    <w:qFormat/>
    <w:rPr>
      <w:rFonts w:ascii="Courier New" w:hAnsi="Courier New" w:cs="Courier New"/>
    </w:rPr>
  </w:style>
  <w:style w:type="character" w:styleId="WW8Num40z0">
    <w:name w:val="WW8Num40z0"/>
    <w:qFormat/>
    <w:rPr>
      <w:rFonts w:cs="Times New Roman"/>
    </w:rPr>
  </w:style>
  <w:style w:type="character" w:styleId="WW8Num40z1">
    <w:name w:val="WW8Num40z1"/>
    <w:qFormat/>
    <w:rPr>
      <w:rFonts w:cs="Times New Roman"/>
    </w:rPr>
  </w:style>
  <w:style w:type="character" w:styleId="WW8Num41z0">
    <w:name w:val="WW8Num41z0"/>
    <w:qFormat/>
    <w:rPr>
      <w:rFonts w:cs="Times New Roman"/>
    </w:rPr>
  </w:style>
  <w:style w:type="character" w:styleId="WW8Num41z1">
    <w:name w:val="WW8Num41z1"/>
    <w:qFormat/>
    <w:rPr>
      <w:rFonts w:cs="Times New Roman"/>
    </w:rPr>
  </w:style>
  <w:style w:type="character" w:styleId="WW8Num42z0">
    <w:name w:val="WW8Num42z0"/>
    <w:qFormat/>
    <w:rPr>
      <w:rFonts w:cs="Times New Roman"/>
    </w:rPr>
  </w:style>
  <w:style w:type="character" w:styleId="WW8Num42z1">
    <w:name w:val="WW8Num42z1"/>
    <w:qFormat/>
    <w:rPr>
      <w:rFonts w:cs="Times New Roman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rFonts w:cs="Times New Roman"/>
      <w:b/>
      <w:sz w:val="28"/>
      <w:szCs w:val="28"/>
    </w:rPr>
  </w:style>
  <w:style w:type="character" w:styleId="WW8Num45z1">
    <w:name w:val="WW8Num45z1"/>
    <w:qFormat/>
    <w:rPr>
      <w:rFonts w:ascii="Times New Roman" w:hAnsi="Times New Roman" w:cs="Times New Roman"/>
      <w:b/>
      <w:i w:val="false"/>
      <w:sz w:val="26"/>
    </w:rPr>
  </w:style>
  <w:style w:type="character" w:styleId="WW8Num45z2">
    <w:name w:val="WW8Num45z2"/>
    <w:qFormat/>
    <w:rPr>
      <w:rFonts w:cs="Times New Roman"/>
    </w:rPr>
  </w:style>
  <w:style w:type="character" w:styleId="WW8Num46z0">
    <w:name w:val="WW8Num46z0"/>
    <w:qFormat/>
    <w:rPr/>
  </w:style>
  <w:style w:type="character" w:styleId="WW8Num47z0">
    <w:name w:val="WW8Num47z0"/>
    <w:qFormat/>
    <w:rPr>
      <w:rFonts w:ascii="Times New Roman" w:hAnsi="Times New Roman" w:eastAsia="Times New Roman" w:cs="Times New Roman"/>
    </w:rPr>
  </w:style>
  <w:style w:type="character" w:styleId="WW8Num47z1">
    <w:name w:val="WW8Num47z1"/>
    <w:qFormat/>
    <w:rPr>
      <w:rFonts w:ascii="Courier New" w:hAnsi="Courier New" w:cs="Courier New"/>
    </w:rPr>
  </w:style>
  <w:style w:type="character" w:styleId="WW8Num47z2">
    <w:name w:val="WW8Num47z2"/>
    <w:qFormat/>
    <w:rPr>
      <w:rFonts w:ascii="Wingdings" w:hAnsi="Wingdings" w:cs="Wingdings"/>
    </w:rPr>
  </w:style>
  <w:style w:type="character" w:styleId="WW8Num47z3">
    <w:name w:val="WW8Num47z3"/>
    <w:qFormat/>
    <w:rPr>
      <w:rFonts w:ascii="Symbol" w:hAnsi="Symbol" w:cs="Symbol"/>
    </w:rPr>
  </w:style>
  <w:style w:type="character" w:styleId="WW8Num48z0">
    <w:name w:val="WW8Num48z0"/>
    <w:qFormat/>
    <w:rPr>
      <w:rFonts w:cs="Times New Roman"/>
      <w:b/>
      <w:bCs/>
    </w:rPr>
  </w:style>
  <w:style w:type="character" w:styleId="WW8Num48z1">
    <w:name w:val="WW8Num48z1"/>
    <w:qFormat/>
    <w:rPr>
      <w:rFonts w:cs="Times New Roman"/>
    </w:rPr>
  </w:style>
  <w:style w:type="character" w:styleId="WW8Num49z0">
    <w:name w:val="WW8Num49z0"/>
    <w:qFormat/>
    <w:rPr>
      <w:rFonts w:ascii="Times New Roman" w:hAnsi="Times New Roman" w:eastAsia="Times New Roman" w:cs="Times New Roman"/>
    </w:rPr>
  </w:style>
  <w:style w:type="character" w:styleId="WW8Num49z2">
    <w:name w:val="WW8Num49z2"/>
    <w:qFormat/>
    <w:rPr>
      <w:rFonts w:ascii="Wingdings" w:hAnsi="Wingdings" w:cs="Wingdings"/>
    </w:rPr>
  </w:style>
  <w:style w:type="character" w:styleId="WW8Num49z3">
    <w:name w:val="WW8Num49z3"/>
    <w:qFormat/>
    <w:rPr>
      <w:rFonts w:ascii="Symbol" w:hAnsi="Symbol" w:cs="Symbol"/>
    </w:rPr>
  </w:style>
  <w:style w:type="character" w:styleId="WW8Num49z4">
    <w:name w:val="WW8Num49z4"/>
    <w:qFormat/>
    <w:rPr>
      <w:rFonts w:ascii="Courier New" w:hAnsi="Courier New" w:cs="Courier New"/>
    </w:rPr>
  </w:style>
  <w:style w:type="character" w:styleId="WW8Num50z0">
    <w:name w:val="WW8Num50z0"/>
    <w:qFormat/>
    <w:rPr>
      <w:rFonts w:cs="Times New Roman"/>
      <w:b/>
      <w:bCs/>
    </w:rPr>
  </w:style>
  <w:style w:type="character" w:styleId="WW8Num50z1">
    <w:name w:val="WW8Num50z1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cs="Cambria"/>
      <w:b/>
      <w:bCs/>
      <w:kern w:val="2"/>
      <w:sz w:val="32"/>
      <w:szCs w:val="32"/>
    </w:rPr>
  </w:style>
  <w:style w:type="character" w:styleId="2">
    <w:name w:val="Заголовок 2 Знак"/>
    <w:qFormat/>
    <w:rPr>
      <w:rFonts w:ascii="Cambria" w:hAnsi="Cambria" w:cs="Cambria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cs="Cambria"/>
      <w:b/>
      <w:bCs/>
      <w:sz w:val="26"/>
      <w:szCs w:val="26"/>
    </w:rPr>
  </w:style>
  <w:style w:type="character" w:styleId="4">
    <w:name w:val="Заголовок 4 Знак"/>
    <w:qFormat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21">
    <w:name w:val="Основной текст 2 Знак"/>
    <w:qFormat/>
    <w:rPr>
      <w:rFonts w:cs="Times New Roman"/>
      <w:sz w:val="24"/>
      <w:szCs w:val="24"/>
    </w:rPr>
  </w:style>
  <w:style w:type="character" w:styleId="Style11">
    <w:name w:val="Основной текст Знак"/>
    <w:qFormat/>
    <w:rPr>
      <w:rFonts w:cs="Times New Roman"/>
      <w:sz w:val="24"/>
      <w:szCs w:val="24"/>
    </w:rPr>
  </w:style>
  <w:style w:type="character" w:styleId="31">
    <w:name w:val="Основной текст 3 Знак"/>
    <w:qFormat/>
    <w:rPr>
      <w:rFonts w:cs="Times New Roman"/>
      <w:sz w:val="16"/>
      <w:szCs w:val="16"/>
    </w:rPr>
  </w:style>
  <w:style w:type="character" w:styleId="Style12">
    <w:name w:val="Нижний колонтитул Знак"/>
    <w:qFormat/>
    <w:rPr>
      <w:rFonts w:cs="Times New Roman"/>
      <w:sz w:val="24"/>
      <w:szCs w:val="24"/>
    </w:rPr>
  </w:style>
  <w:style w:type="character" w:styleId="PageNumber">
    <w:name w:val="page number"/>
    <w:rPr>
      <w:rFonts w:cs="Times New Roman"/>
    </w:rPr>
  </w:style>
  <w:style w:type="character" w:styleId="22">
    <w:name w:val="Основной текст с отступом 2 Знак"/>
    <w:qFormat/>
    <w:rPr>
      <w:rFonts w:cs="Times New Roman"/>
      <w:sz w:val="24"/>
      <w:szCs w:val="24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character" w:styleId="Style13">
    <w:name w:val="Верхний колонтитул Знак"/>
    <w:qFormat/>
    <w:rPr>
      <w:rFonts w:cs="Times New Roman"/>
      <w:sz w:val="24"/>
      <w:szCs w:val="24"/>
    </w:rPr>
  </w:style>
  <w:style w:type="character" w:styleId="Style14">
    <w:name w:val="Текст Знак"/>
    <w:qFormat/>
    <w:rPr>
      <w:rFonts w:ascii="Courier New" w:hAnsi="Courier New" w:cs="Courier New"/>
      <w:sz w:val="20"/>
      <w:szCs w:val="20"/>
    </w:rPr>
  </w:style>
  <w:style w:type="character" w:styleId="Style15">
    <w:name w:val="Тест несписок Знак Знак"/>
    <w:qFormat/>
    <w:rPr>
      <w:rFonts w:ascii="Verdana" w:hAnsi="Verdana" w:cs="Verdana"/>
      <w:kern w:val="2"/>
      <w:sz w:val="24"/>
      <w:szCs w:val="24"/>
      <w:lang w:val="ru-RU"/>
    </w:rPr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7">
    <w:name w:val="Текст концевой сноски Знак"/>
    <w:basedOn w:val="Style10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32">
    <w:name w:val="Стиль3 Знак Знак"/>
    <w:qFormat/>
    <w:rPr>
      <w:sz w:val="24"/>
    </w:rPr>
  </w:style>
  <w:style w:type="character" w:styleId="Style18">
    <w:name w:val="Абзац списка Знак"/>
    <w:qFormat/>
    <w:rPr>
      <w:sz w:val="24"/>
      <w:szCs w:val="24"/>
    </w:rPr>
  </w:style>
  <w:style w:type="character" w:styleId="ConsPlusNormal">
    <w:name w:val="ConsPlusNormal Знак"/>
    <w:qFormat/>
    <w:rPr>
      <w:rFonts w:ascii="Arial" w:hAnsi="Arial" w:cs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3">
    <w:name w:val="Основной текст 2"/>
    <w:basedOn w:val="Normal"/>
    <w:qFormat/>
    <w:pPr>
      <w:jc w:val="both"/>
    </w:pPr>
    <w:rPr>
      <w:lang w:val="en-US"/>
    </w:rPr>
  </w:style>
  <w:style w:type="paragraph" w:styleId="11">
    <w:name w:val="Стиль1"/>
    <w:basedOn w:val="Normal"/>
    <w:qFormat/>
    <w:pPr>
      <w:jc w:val="center"/>
    </w:pPr>
    <w:rPr>
      <w:sz w:val="20"/>
      <w:szCs w:val="20"/>
    </w:rPr>
  </w:style>
  <w:style w:type="paragraph" w:styleId="16pt">
    <w:name w:val="Обычный + 16 pt"/>
    <w:basedOn w:val="Normal"/>
    <w:qFormat/>
    <w:pPr>
      <w:widowControl w:val="false"/>
      <w:autoSpaceDE w:val="false"/>
      <w:ind w:firstLine="540" w:start="0" w:end="0"/>
      <w:jc w:val="both"/>
    </w:pPr>
    <w:rPr>
      <w:sz w:val="32"/>
      <w:szCs w:val="32"/>
    </w:rPr>
  </w:style>
  <w:style w:type="paragraph" w:styleId="Style19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33">
    <w:name w:val="Основной текст 3"/>
    <w:basedOn w:val="Normal"/>
    <w:qFormat/>
    <w:pPr/>
    <w:rPr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24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34">
    <w:name w:val="Стиль3"/>
    <w:basedOn w:val="24"/>
    <w:qFormat/>
    <w:pPr>
      <w:widowControl w:val="false"/>
      <w:spacing w:lineRule="auto" w:line="240" w:before="0" w:after="0"/>
      <w:ind w:hanging="0" w:start="0" w:end="0"/>
      <w:jc w:val="both"/>
      <w:textAlignment w:val="baseline"/>
    </w:pPr>
    <w:rPr/>
  </w:style>
  <w:style w:type="paragraph" w:styleId="Style20">
    <w:name w:val="Готовый"/>
    <w:basedOn w:val="Normal"/>
    <w:qFormat/>
    <w:pPr>
      <w:tabs>
        <w:tab w:val="clear" w:pos="709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  <w:szCs w:val="20"/>
    </w:rPr>
  </w:style>
  <w:style w:type="paragraph" w:styleId="12">
    <w:name w:val="МойЗаголовок1"/>
    <w:basedOn w:val="Normal"/>
    <w:qFormat/>
    <w:pPr>
      <w:spacing w:lineRule="auto" w:line="288" w:before="360" w:after="60"/>
      <w:jc w:val="center"/>
      <w:outlineLvl w:val="0"/>
    </w:pPr>
    <w:rPr>
      <w:b/>
      <w:bCs/>
      <w:kern w:val="2"/>
    </w:rPr>
  </w:style>
  <w:style w:type="paragraph" w:styleId="H4">
    <w:name w:val="H4"/>
    <w:basedOn w:val="Normal"/>
    <w:next w:val="Normal"/>
    <w:qFormat/>
    <w:pPr>
      <w:keepNext w:val="true"/>
      <w:widowControl w:val="false"/>
      <w:spacing w:before="100" w:after="100"/>
      <w:outlineLvl w:val="4"/>
    </w:pPr>
    <w:rPr>
      <w:b/>
      <w:bCs/>
    </w:rPr>
  </w:style>
  <w:style w:type="paragraph" w:styleId="Style21">
    <w:name w:val="Знак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>
      <w:lang w:val="en-US"/>
    </w:rPr>
  </w:style>
  <w:style w:type="paragraph" w:styleId="13">
    <w:name w:val="Знак1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11">
    <w:name w:val="Знак11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Char">
    <w:name w:val="Char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21">
    <w:name w:val="Знак12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31">
    <w:name w:val="Знак13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4">
    <w:name w:val="Знак14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5">
    <w:name w:val="Знак15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6">
    <w:name w:val="Знак16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17">
    <w:name w:val="Знак1 Знак Знак Знак Знак Знак Знак Знак Знак Знак Знак Знак Знак Знак Знак Знак Знак Знак Знак Знак Знак Знак"/>
    <w:basedOn w:val="Normal"/>
    <w:qFormat/>
    <w:pPr>
      <w:keepLines/>
      <w:spacing w:lineRule="exact" w:line="240" w:before="0" w:after="160"/>
    </w:pPr>
    <w:rPr>
      <w:rFonts w:ascii="Verdana" w:hAnsi="Verdana" w:eastAsia="MS Mincho;ＭＳ 明朝" w:cs="Verdana"/>
      <w:sz w:val="20"/>
      <w:szCs w:val="20"/>
      <w:lang w:val="en-US"/>
    </w:rPr>
  </w:style>
  <w:style w:type="paragraph" w:styleId="Style22">
    <w:name w:val="Текст"/>
    <w:basedOn w:val="Normal"/>
    <w:qFormat/>
    <w:pPr/>
    <w:rPr>
      <w:rFonts w:ascii="Courier New" w:hAnsi="Courier New" w:cs="Courier New"/>
      <w:sz w:val="20"/>
      <w:szCs w:val="20"/>
      <w:lang w:val="en-US"/>
    </w:rPr>
  </w:style>
  <w:style w:type="paragraph" w:styleId="Style23">
    <w:name w:val="Тест несписок Знак"/>
    <w:basedOn w:val="Normal"/>
    <w:qFormat/>
    <w:pPr>
      <w:spacing w:lineRule="auto" w:line="288" w:before="60" w:after="60"/>
      <w:ind w:firstLine="567" w:start="0" w:end="0"/>
      <w:jc w:val="both"/>
      <w:outlineLvl w:val="0"/>
    </w:pPr>
    <w:rPr>
      <w:rFonts w:ascii="Verdana" w:hAnsi="Verdana" w:cs="Verdana"/>
      <w:kern w:val="2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5">
    <w:name w:val="Абзац списка"/>
    <w:basedOn w:val="Normal"/>
    <w:qFormat/>
    <w:pPr>
      <w:ind w:hanging="0" w:start="720" w:end="0"/>
    </w:pPr>
    <w:rPr/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ZchnZchn1CharCharZchnZchn">
    <w:name w:val="Zchn Zchn1 Char Char Zchn Zchn"/>
    <w:basedOn w:val="Normal"/>
    <w:qFormat/>
    <w:pPr>
      <w:widowControl w:val="false"/>
      <w:bidi w:val="1"/>
      <w:spacing w:lineRule="exact" w:line="240" w:before="0" w:after="160"/>
      <w:ind w:hanging="0" w:start="0" w:end="0"/>
      <w:jc w:val="start"/>
    </w:pPr>
    <w:rPr>
      <w:sz w:val="20"/>
      <w:szCs w:val="20"/>
      <w:lang w:val="en-GB" w:bidi="he-IL"/>
    </w:rPr>
  </w:style>
  <w:style w:type="paragraph" w:styleId="25">
    <w:name w:val="Нумерованный список 2"/>
    <w:basedOn w:val="Normal"/>
    <w:qFormat/>
    <w:pPr>
      <w:numPr>
        <w:ilvl w:val="0"/>
        <w:numId w:val="3"/>
      </w:numPr>
      <w:spacing w:before="0" w:after="0"/>
      <w:contextualSpacing/>
    </w:pPr>
    <w:rPr/>
  </w:style>
  <w:style w:type="paragraph" w:styleId="26">
    <w:name w:val="Стиль2"/>
    <w:basedOn w:val="25"/>
    <w:qFormat/>
    <w:pPr>
      <w:keepNext w:val="true"/>
      <w:keepLines/>
      <w:widowControl w:val="false"/>
      <w:numPr>
        <w:ilvl w:val="0"/>
        <w:numId w:val="0"/>
      </w:numPr>
      <w:suppressLineNumbers/>
      <w:tabs>
        <w:tab w:val="clear" w:pos="709"/>
        <w:tab w:val="left" w:pos="1440" w:leader="none"/>
      </w:tabs>
      <w:suppressAutoHyphens w:val="true"/>
      <w:spacing w:before="0" w:after="60"/>
      <w:ind w:hanging="360" w:start="1440" w:end="0"/>
      <w:contextualSpacing w:val="false"/>
      <w:jc w:val="both"/>
    </w:pPr>
    <w:rPr>
      <w:b/>
      <w:szCs w:val="20"/>
    </w:rPr>
  </w:style>
  <w:style w:type="paragraph" w:styleId="35">
    <w:name w:val="Стиль3 Знак"/>
    <w:basedOn w:val="24"/>
    <w:qFormat/>
    <w:pPr>
      <w:widowControl w:val="false"/>
      <w:tabs>
        <w:tab w:val="clear" w:pos="709"/>
        <w:tab w:val="left" w:pos="227" w:leader="none"/>
      </w:tabs>
      <w:spacing w:lineRule="auto" w:line="240" w:before="0" w:after="0"/>
      <w:ind w:hanging="0" w:start="0" w:end="0"/>
      <w:jc w:val="both"/>
      <w:textAlignment w:val="baseline"/>
    </w:pPr>
    <w:rPr>
      <w:szCs w:val="20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26">
    <w:name w:val="Пункт"/>
    <w:basedOn w:val="Normal"/>
    <w:qFormat/>
    <w:pPr>
      <w:tabs>
        <w:tab w:val="clear" w:pos="709"/>
        <w:tab w:val="left" w:pos="1980" w:leader="none"/>
      </w:tabs>
      <w:ind w:hanging="504" w:start="1404" w:end="0"/>
      <w:jc w:val="both"/>
    </w:pPr>
    <w:rPr>
      <w:szCs w:val="28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Times New Roman" w:hAnsi="Times New Roman" w:eastAsia="Andale Sans UI;Times New Roman" w:cs="Tahoma"/>
      <w:color w:val="auto"/>
      <w:kern w:val="2"/>
      <w:sz w:val="24"/>
      <w:szCs w:val="24"/>
      <w:lang w:val="en-US" w:eastAsia="zh-CN"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rts-tender.ru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2021-12-20T13:21:00Z</dcterms:created>
  <dc:creator>Мухина СВ</dc:creator>
  <dc:description/>
  <cp:keywords/>
  <dc:language>en-US</dc:language>
  <cp:lastModifiedBy>Разина Елена Алексеевна</cp:lastModifiedBy>
  <cp:lastPrinted>2025-12-15T16:14:00Z</cp:lastPrinted>
  <dcterms:modified xsi:type="dcterms:W3CDTF">2025-12-15T13:55:00Z</dcterms:modified>
  <cp:revision>207</cp:revision>
  <dc:subject/>
  <dc:title>ПРОТОКОЛ № 2/202с-10</dc:title>
</cp:coreProperties>
</file>