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 xml:space="preserve">Протокол </w:t>
        <w:br/>
        <w:t xml:space="preserve">Подведения итогов процедуры </w:t>
        <w:br/>
        <w:t>32515487249</w:t>
      </w:r>
    </w:p>
    <w:tbl>
      <w:tblPr>
        <w:tblW w:w="9602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4820"/>
      </w:tblGrid>
      <w:tr>
        <w:trPr>
          <w:trHeight w:val="100" w:hRule="atLeast"/>
        </w:trPr>
        <w:tc>
          <w:tcPr>
            <w:tcW w:w="478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Самара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kern w:val="0"/>
              </w:rPr>
              <w:t>«15» декабря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Организатором является: ГОСУДАРСТВЕННОЕ БЮДЖЕТНОЕ УЧРЕЖДЕНИЕ ЗДРАВООХРАНЕНИЯ САМАРСКОЙ ОБЛАСТИ "САМАРСКАЯ СТОМАТОЛОГИЧЕСКАЯ ПОЛИКЛИНИКА № 3"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1.</w:t>
      </w:r>
      <w:r>
        <w:rPr>
          <w:rFonts w:ascii="Times New Roman" w:hAnsi="Times New Roman"/>
          <w:kern w:val="0"/>
        </w:rPr>
        <w:t xml:space="preserve"> Наименование процедуры и предмет договора лота: </w:t>
        <w:br/>
        <w:t>Оказание услуг по информационному сопровождению программного обеспечения Автоматизированной системы "Медстат", Автоматизированной системы «Учет и анализ деятельности лечебно-хирургических и ортодонтических отделений стоматологических поликлиник», Автоматизированной системы «Учет статистической и финансовой деятельности ортопедических отделений стоматологических поликлиник», Автоматизированной системы «Поликлиника», Информационной системы «Единый областной банк данных оказанных медицинских услуг населению Самарской области» для ГБУЗ СО «ССП №3» в 2026 году, лот №1: Оказание услуг по информационному сопровождению программного обеспечения Автоматизированной системы "Медстат", Автоматизированной системы «Учет и анализ деятельности лечебно-хирургических и ортодонтических отделений стоматологических поликлиник», Автоматизированной системы «Учет статистической и финансовой деятельности ортопедических отделений стоматологических поликлиник», Автоматизированной системы «Поликлиника», Информационной системы «Единый областной банк данных оказанных медицинских услуг населению Самарской области» для ГБУЗ СО «ССП №3» в 2026 году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2.</w:t>
      </w:r>
      <w:r>
        <w:rPr>
          <w:rFonts w:ascii="Times New Roman" w:hAnsi="Times New Roman"/>
          <w:kern w:val="0"/>
        </w:rPr>
        <w:t xml:space="preserve"> Начальная цена договора: </w:t>
        <w:br/>
        <w:t>283 006,02 руб. с учетом НДС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3.</w:t>
      </w:r>
      <w:r>
        <w:rPr>
          <w:rFonts w:ascii="Times New Roman" w:hAnsi="Times New Roman"/>
          <w:kern w:val="0"/>
        </w:rPr>
        <w:t xml:space="preserve"> Извещение и документация о проведении настоящей процедуры были размещены «04» декабря 2025 года на сайте ЭТП ГПБ, по адресу в сети «Интернет»: https://etp.gpb.ru.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4.</w:t>
      </w:r>
      <w:r>
        <w:rPr>
          <w:rFonts w:ascii="Times New Roman" w:hAnsi="Times New Roman"/>
          <w:kern w:val="0"/>
        </w:rPr>
        <w:t xml:space="preserve"> Состав комиссии. </w:t>
        <w:br/>
        <w:t xml:space="preserve">На заседании комиссии (Единая комиссия), при подведении итогов процедуры присутствовали: </w:t>
        <w:br/>
        <w:t xml:space="preserve">Председатель комиссии: Рыба Ольга Борисовна </w:t>
        <w:br/>
        <w:t xml:space="preserve">Зам. председателя комиссии: Воробьева Любовь Михайловна </w:t>
        <w:br/>
        <w:t>Член комиссии: Огнева Наталия Олеговна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5.</w:t>
      </w:r>
      <w:r>
        <w:rPr>
          <w:rFonts w:ascii="Times New Roman" w:hAnsi="Times New Roman"/>
          <w:kern w:val="0"/>
        </w:rPr>
        <w:t xml:space="preserve"> На основании протокола проведения процедуры 32515487249 были рассмотрены заявки следующих участников:</w:t>
      </w:r>
    </w:p>
    <w:tbl>
      <w:tblPr>
        <w:tblW w:w="9603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176"/>
        <w:gridCol w:w="3213"/>
        <w:gridCol w:w="3214"/>
      </w:tblGrid>
      <w:tr>
        <w:trPr>
          <w:trHeight w:val="100" w:hRule="atLeast"/>
        </w:trPr>
        <w:tc>
          <w:tcPr>
            <w:tcW w:w="3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участника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Наименование участника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Сумма предложения, руб., с учетом НДС</w:t>
            </w:r>
          </w:p>
        </w:tc>
      </w:tr>
      <w:tr>
        <w:trPr>
          <w:trHeight w:val="100" w:hRule="atLeast"/>
        </w:trPr>
        <w:tc>
          <w:tcPr>
            <w:tcW w:w="3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Участник №1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ГОСУДАРСТВЕННОЕ БЮДЖЕТНОЕ УЧРЕЖДЕНИЕ ЗДРАВООХРАНЕНИЯ «САМАРСКИЙ ОБЛАСТНОЙ МЕДИЦИНСКИЙ ИНФОРМАЦИОННО-АНАЛИТИЧЕСКИЙ ЦЕНТР»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283 006,02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6.</w:t>
      </w:r>
      <w:r>
        <w:rPr>
          <w:rFonts w:ascii="Times New Roman" w:hAnsi="Times New Roman"/>
          <w:kern w:val="0"/>
        </w:rPr>
        <w:t xml:space="preserve"> Комиссия рассмотрела заявки на участие в процедуре </w:t>
      </w:r>
      <w:r>
        <w:rPr>
          <w:rFonts w:ascii="Times New Roman" w:hAnsi="Times New Roman"/>
          <w:b/>
          <w:bCs/>
          <w:kern w:val="0"/>
        </w:rPr>
        <w:t>32515487249</w:t>
      </w:r>
      <w:r>
        <w:rPr>
          <w:rFonts w:ascii="Times New Roman" w:hAnsi="Times New Roman"/>
          <w:kern w:val="0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регистрацию на электронной площадке, сведения об участнике, подавшем такую заявку на участие в процедуре, и приняла следующие решения:</w:t>
      </w:r>
    </w:p>
    <w:tbl>
      <w:tblPr>
        <w:tblW w:w="9604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374"/>
        <w:gridCol w:w="2409"/>
        <w:gridCol w:w="2411"/>
        <w:gridCol w:w="2410"/>
      </w:tblGrid>
      <w:tr>
        <w:trPr>
          <w:trHeight w:val="100" w:hRule="atLeast"/>
        </w:trPr>
        <w:tc>
          <w:tcPr>
            <w:tcW w:w="2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Место заявки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заявки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Статус допуска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Основание для решения</w:t>
            </w:r>
          </w:p>
        </w:tc>
      </w:tr>
      <w:tr>
        <w:trPr>
          <w:trHeight w:val="100" w:hRule="atLeast"/>
        </w:trPr>
        <w:tc>
          <w:tcPr>
            <w:tcW w:w="2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Не указывается в данном протоколе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Допущен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Состав документов участника соответствует требованиям документации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Сведения о решении каждого члена комиссии о допуске участников к участию в процедуре:</w:t>
      </w:r>
    </w:p>
    <w:tbl>
      <w:tblPr>
        <w:tblW w:w="9602" w:type="dxa"/>
        <w:jc w:val="center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4820"/>
      </w:tblGrid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ФИО членов комиссии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Заявка №1 (Цена с учетом НДС: 283 006,02 руб.)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Рыба Ольга Борисовна </w:t>
              <w:br/>
              <w:t>(Председатель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Воробьева Любовь Михайловна </w:t>
              <w:br/>
              <w:t>(Зам. председателя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Огнева Наталия Олеговна </w:t>
              <w:br/>
              <w:t>(Член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ИТОГО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3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Соответствует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3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Не соответствует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7.</w:t>
      </w:r>
      <w:r>
        <w:rPr>
          <w:rFonts w:ascii="Times New Roman" w:hAnsi="Times New Roman"/>
          <w:kern w:val="0"/>
        </w:rPr>
        <w:t xml:space="preserve"> Процедура 32515487249, лот №1 была признана неcостоявшейся так как На участие в закупке подана только одна заявка ГОСУДАРСТВЕННОЕ БЮДЖЕТНОЕ УЧРЕЖДЕНИЕ ЗДРАВООХРАНЕНИЯ «САМАРСКИЙ ОБЛАСТНОЙ МЕДИЦИНСКИЙ ИНФОРМАЦИОННО-АНАЛИТИЧЕСКИЙ ЦЕНТР».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8.</w:t>
      </w:r>
      <w:r>
        <w:rPr>
          <w:rFonts w:ascii="Times New Roman" w:hAnsi="Times New Roman"/>
          <w:kern w:val="0"/>
        </w:rPr>
        <w:t xml:space="preserve"> Настоящий протокол подведения итогов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kern w:val="0"/>
          </w:rPr>
          <w:t>https://etp.gpb.ru</w:t>
        </w:r>
      </w:hyperlink>
    </w:p>
    <w:p>
      <w:pPr>
        <w:pStyle w:val="Normal"/>
        <w:bidi w:val="0"/>
        <w:spacing w:lineRule="auto" w:line="278" w:before="0" w:after="160"/>
        <w:ind w:hanging="0" w:start="0" w:end="0"/>
        <w:rPr/>
      </w:pPr>
      <w:r>
        <w:rPr/>
        <w:drawing>
          <wp:inline distT="0" distB="0" distL="0" distR="0">
            <wp:extent cx="6490335" cy="19748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197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18" w:right="851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4"/>
      <w:szCs w:val="24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8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4"/>
      <w:szCs w:val="24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522</Words>
  <Characters>3494</Characters>
  <CharactersWithSpaces>2978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2025-12-15T09:42:00Z</dcterms:created>
  <dc:creator>paggard</dc:creator>
  <dc:description/>
  <dc:language>en-US</dc:language>
  <cp:lastModifiedBy/>
  <dcterms:modified xsi:type="dcterms:W3CDTF">2025-12-15T09:43:00Z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Пользователь</vt:lpwstr>
  </property>
</Properties>
</file>