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>
          <w:sz w:val="20"/>
          <w:szCs w:val="20"/>
        </w:rPr>
      </w:pPr>
      <w:r>
        <w:rPr>
          <w:b/>
          <w:sz w:val="20"/>
          <w:szCs w:val="20"/>
        </w:rPr>
        <w:t>ПРОТОКОЛ</w:t>
      </w:r>
    </w:p>
    <w:p>
      <w:pPr>
        <w:pStyle w:val="Normal"/>
        <w:widowControl w:val="false"/>
        <w:jc w:val="center"/>
        <w:rPr>
          <w:i/>
          <w:i/>
          <w:sz w:val="20"/>
          <w:szCs w:val="20"/>
        </w:rPr>
      </w:pPr>
      <w:r>
        <w:rPr>
          <w:sz w:val="20"/>
          <w:szCs w:val="20"/>
        </w:rPr>
        <w:t xml:space="preserve">заседания Комиссии по осуществлению конкурентных закупок АО «Теплосеть Санкт-Петербурга» </w:t>
        <w:br/>
        <w:t xml:space="preserve">по рассмотрению заявок и подведению итогов открытого </w:t>
      </w:r>
      <w:r>
        <w:rPr>
          <w:bCs/>
          <w:sz w:val="20"/>
          <w:szCs w:val="20"/>
        </w:rPr>
        <w:t>конкурентного отбора</w:t>
      </w:r>
      <w:r>
        <w:rPr>
          <w:sz w:val="20"/>
          <w:szCs w:val="20"/>
        </w:rPr>
        <w:t xml:space="preserve"> в электронной форме </w:t>
      </w:r>
    </w:p>
    <w:p>
      <w:pPr>
        <w:pStyle w:val="Normal"/>
        <w:widowControl w:val="false"/>
        <w:jc w:val="center"/>
        <w:rPr>
          <w:b/>
          <w:i/>
          <w:i/>
          <w:sz w:val="20"/>
          <w:szCs w:val="20"/>
        </w:rPr>
      </w:pPr>
      <w:r>
        <w:rPr>
          <w:b/>
          <w:i/>
          <w:sz w:val="20"/>
          <w:szCs w:val="20"/>
        </w:rPr>
      </w:r>
    </w:p>
    <w:p>
      <w:pPr>
        <w:pStyle w:val="Normal"/>
        <w:widowControl w:val="false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Санкт-Петербург</w:t>
      </w:r>
    </w:p>
    <w:p>
      <w:pPr>
        <w:pStyle w:val="Normal"/>
        <w:widowControl w:val="false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5103"/>
      </w:tblGrid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/>
            </w:pPr>
            <w:r>
              <w:rPr>
                <w:sz w:val="20"/>
                <w:szCs w:val="20"/>
              </w:rPr>
              <w:t>Номер протокола: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>32515438075_1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Дата/время проведения заседания: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«11» декабря 2025 года 17:00 (</w:t>
            </w:r>
            <w:r>
              <w:rPr>
                <w:i/>
                <w:sz w:val="20"/>
                <w:szCs w:val="20"/>
              </w:rPr>
              <w:t>по московскому времени)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подписания протокола: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«11» декабря 2025 года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Начальная (максимальная) цена с НДС, руб.: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6 878 771,60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поставки товара: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поставки товара: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поставки товара: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исполнения договора: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>
        <w:trPr/>
        <w:tc>
          <w:tcPr>
            <w:tcW w:w="4786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Участниками могут быть только субъекты МСП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spacing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ПРЕДМЕТ ЗАКУПКИ:</w:t>
      </w:r>
    </w:p>
    <w:p>
      <w:pPr>
        <w:pStyle w:val="Normal"/>
        <w:widowControl w:val="false"/>
        <w:jc w:val="both"/>
        <w:rPr>
          <w:sz w:val="20"/>
          <w:szCs w:val="20"/>
        </w:rPr>
      </w:pPr>
      <w:r>
        <w:rPr>
          <w:sz w:val="20"/>
          <w:szCs w:val="20"/>
        </w:rPr>
        <w:t>Лот 1: Поставка люков (4444/2.1.1-240)</w:t>
      </w:r>
    </w:p>
    <w:p>
      <w:pPr>
        <w:pStyle w:val="Normal"/>
        <w:widowControl w:val="false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ПОВЕСТКА:</w:t>
      </w:r>
    </w:p>
    <w:p>
      <w:pPr>
        <w:pStyle w:val="Normal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Рассмотрение заявок и подведение итогов открытого конкурентного отбора в электронной форме на право заключения договора на поставку люков (4444/2.1.1-240).</w:t>
      </w:r>
    </w:p>
    <w:p>
      <w:pPr>
        <w:pStyle w:val="Normal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одобрении Сводного заключения Экспертного совета по рассмотрению заявок и подведению итогов открытого конкурентного отбора.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признании заявки соответствующей условиям закупки.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признании закупки несостоявшейся в связи с тем, что на участие в закупке подана только одна заявка.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определении победителя.</w:t>
      </w:r>
    </w:p>
    <w:p>
      <w:pPr>
        <w:pStyle w:val="Normal"/>
        <w:widowControl w:val="false"/>
        <w:numPr>
          <w:ilvl w:val="0"/>
          <w:numId w:val="3"/>
        </w:numPr>
        <w:spacing w:before="120" w:after="120"/>
        <w:ind w:hanging="284" w:start="284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возможности проведения преддоговорных переговоров.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КОМИССИЯ ПО ОСУЩЕСТВЛЕНИЮ КОНКУРЕНТНЫХ ЗАКУПОК АО «ТЕПЛОСЕТЬ </w:t>
        <w:br/>
        <w:t>САНКТ-ПЕТЕРБУРГА»: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Заместитель председателя Комиссии по осуществлению конкурентных закупок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rPr>
          <w:sz w:val="20"/>
          <w:szCs w:val="20"/>
        </w:rPr>
      </w:pPr>
      <w:r>
        <w:rPr>
          <w:sz w:val="20"/>
          <w:szCs w:val="20"/>
        </w:rPr>
        <w:t>Чистяков С.С.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Члены Комиссии по осуществлению конкурентных закупок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Буряк И.Н. 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Кузнецов Д.Э.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Медведева Н.Л.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Пахунов Е.М.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Пуговкин В.М.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Северовостоков В.В.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Фомичев А.С.</w:t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УЧАСТИЕ ПРИНИМАЛИ: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Заместитель председателя Комиссии по осуществлению конкурентных закупок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rPr>
          <w:sz w:val="20"/>
          <w:szCs w:val="20"/>
        </w:rPr>
      </w:pPr>
      <w:r>
        <w:rPr>
          <w:sz w:val="20"/>
          <w:szCs w:val="20"/>
        </w:rPr>
        <w:t>Чистяков С.С.</w:t>
      </w:r>
    </w:p>
    <w:p>
      <w:pPr>
        <w:pStyle w:val="Normal"/>
        <w:widowControl w:val="false"/>
        <w:spacing w:lineRule="auto" w:line="288" w:before="120" w:after="120"/>
        <w:ind w:end="-285"/>
        <w:contextualSpacing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Члены Комиссии по осуществлению конкурентных закупок АО «Теплосеть Санкт-Петербурга»: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Буряк И.Н. 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Кузнецов Д.Э.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Медведева Н.Л.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Пахунов Е.М.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Пуговкин В.М.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Северовостоков В.В.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Фомичев А.С.</w:t>
      </w:r>
    </w:p>
    <w:p>
      <w:pPr>
        <w:pStyle w:val="Normal"/>
        <w:widowControl w:val="false"/>
        <w:spacing w:lineRule="auto" w:line="288" w:before="120" w:after="12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ОТСУТСТВОВАЛИ: -</w:t>
      </w:r>
    </w:p>
    <w:p>
      <w:pPr>
        <w:pStyle w:val="Normal"/>
        <w:widowControl w:val="false"/>
        <w:spacing w:before="120" w:after="120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/>
      </w:pPr>
      <w:r>
        <w:rPr>
          <w:b/>
          <w:sz w:val="20"/>
          <w:szCs w:val="20"/>
        </w:rPr>
        <w:t xml:space="preserve">Присутствовали 8 (восемь) из 8 (восьми) членов комиссии. </w:t>
      </w:r>
      <w:r>
        <w:rPr>
          <w:b/>
          <w:bCs/>
          <w:sz w:val="20"/>
          <w:szCs w:val="20"/>
        </w:rPr>
        <w:t>Комиссия правомочна осуществлять свои функции.</w:t>
      </w:r>
      <w:r>
        <w:rPr>
          <w:b/>
          <w:sz w:val="20"/>
          <w:szCs w:val="20"/>
        </w:rPr>
        <w:t xml:space="preserve"> Кворум для принятия решений имеется. 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lineRule="auto" w:line="216"/>
        <w:jc w:val="both"/>
        <w:outlineLvl w:val="0"/>
        <w:rPr/>
      </w:pPr>
      <w:r>
        <w:rPr>
          <w:b/>
          <w:sz w:val="20"/>
          <w:szCs w:val="20"/>
        </w:rPr>
        <w:t xml:space="preserve">ВОПРОСЫ ЗАСЕДАНИЯ КОМИССИИ ПО ОСУЩЕСТВЛЕНИЮ КОНКУРЕНТНЫХ ЗАКУПОК </w:t>
        <w:br/>
        <w:t>АО «ТЕПЛОСЕТЬ САНКТ-ПЕТЕРБУРГА»:</w:t>
      </w:r>
    </w:p>
    <w:p>
      <w:pPr>
        <w:pStyle w:val="Normal"/>
        <w:widowControl w:val="false"/>
        <w:spacing w:before="120"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 участие в закупке была подана 1 (одна) заявка: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6662"/>
        <w:gridCol w:w="2552"/>
      </w:tblGrid>
      <w:tr>
        <w:trPr>
          <w:tblHeader w:val="true"/>
          <w:trHeight w:val="47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заявки</w:t>
            </w:r>
          </w:p>
        </w:tc>
        <w:tc>
          <w:tcPr>
            <w:tcW w:w="6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/>
            </w:pPr>
            <w:r>
              <w:rPr>
                <w:sz w:val="20"/>
                <w:szCs w:val="20"/>
              </w:rPr>
              <w:t>Наименование, ИНН, адрес Участника закупки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регистрации заявки</w:t>
            </w:r>
          </w:p>
        </w:tc>
      </w:tr>
      <w:tr>
        <w:trPr>
          <w:tblHeader w:val="true"/>
          <w:trHeight w:val="12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1</w:t>
            </w:r>
          </w:p>
        </w:tc>
        <w:tc>
          <w:tcPr>
            <w:tcW w:w="6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3</w:t>
            </w:r>
          </w:p>
        </w:tc>
      </w:tr>
      <w:tr>
        <w:trPr>
          <w:trHeight w:val="234" w:hRule="atLeast"/>
        </w:trPr>
        <w:tc>
          <w:tcPr>
            <w:tcW w:w="992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</w:rPr>
              <w:t>Лот № 1:</w:t>
            </w:r>
          </w:p>
        </w:tc>
      </w:tr>
      <w:tr>
        <w:trPr>
          <w:trHeight w:val="1564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5846</w:t>
            </w:r>
          </w:p>
        </w:tc>
        <w:tc>
          <w:tcPr>
            <w:tcW w:w="6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 С ОГРАНИЧЕННОЙ ОТВЕТСТВЕННОСТЬЮ ТОРГОВЫЙ ДОМ "ИЛИОН"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7811429019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192148, Г.САНКТ-ПЕТЕРБУРГ, УЛ. АВТОГЕННАЯ, Д.6, ОФИС 220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 10:12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/>
      </w:pPr>
      <w:r>
        <w:rPr>
          <w:b/>
          <w:sz w:val="20"/>
          <w:szCs w:val="20"/>
        </w:rPr>
        <w:t>Вопрос 1 повестки: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одобрении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>Сводного заключения Экспертного совета по рассмотрению заявок и подведению итогов открытого конкурентного отбора.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i/>
          <w:i/>
          <w:sz w:val="20"/>
          <w:szCs w:val="20"/>
        </w:rPr>
      </w:pPr>
      <w:r>
        <w:rPr>
          <w:sz w:val="20"/>
          <w:szCs w:val="20"/>
        </w:rPr>
        <w:t xml:space="preserve">Члены Комиссии по осуществлению конкурентных закупок АО «Теплосеть Санкт-Петербурга» изучили поступившую заявку. Результаты оценки сведены в Сводном заключении Экспертного совета по рассмотрению заявок и подведению итогов открытого конкурентного отбора (Приложение № 1). </w:t>
      </w:r>
    </w:p>
    <w:p>
      <w:pPr>
        <w:pStyle w:val="Normal"/>
        <w:widowControl w:val="false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Комиссии по осуществлению конкурентных закупок АО «Теплосеть Санкт-Петербурга» предлагается одобрить Сводное заключение Экспертного совета по рассмотрению заявок и подведению итогов открытого конкурентного отбора.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Вопрос 2 повестки:</w:t>
      </w:r>
    </w:p>
    <w:p>
      <w:pPr>
        <w:pStyle w:val="Normal"/>
        <w:ind w:firstLine="567" w:end="0"/>
        <w:jc w:val="both"/>
        <w:rPr/>
      </w:pPr>
      <w:r>
        <w:rPr>
          <w:sz w:val="20"/>
          <w:szCs w:val="20"/>
        </w:rPr>
        <w:t xml:space="preserve">О признании заявки ОБЩЕСТВА С ОГРАНИЧЕННОЙ ОТВЕТСТВЕННОСТЬЮ ТОРГОВЫЙ ДОМ "ИЛИОН" соответствующей условиям закупки. 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Вопрос 3 повестки:</w:t>
      </w:r>
    </w:p>
    <w:p>
      <w:pPr>
        <w:pStyle w:val="Normal"/>
        <w:ind w:firstLine="567" w:end="0"/>
        <w:jc w:val="both"/>
        <w:rPr>
          <w:sz w:val="20"/>
          <w:szCs w:val="20"/>
        </w:rPr>
      </w:pPr>
      <w:r>
        <w:rPr>
          <w:sz w:val="20"/>
          <w:szCs w:val="20"/>
        </w:rPr>
        <w:t>О признании закупки несостоявшейся в связи с тем, что на участие в закупке подана только одна заявка.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/>
      </w:pPr>
      <w:r>
        <w:rPr>
          <w:b/>
          <w:sz w:val="20"/>
          <w:szCs w:val="20"/>
        </w:rPr>
        <w:t xml:space="preserve">Вопрос </w:t>
      </w:r>
      <w:r>
        <w:rPr>
          <w:b/>
          <w:sz w:val="20"/>
          <w:szCs w:val="20"/>
          <w:lang w:val="en-US"/>
        </w:rPr>
        <w:t>4</w:t>
      </w:r>
      <w:r>
        <w:rPr>
          <w:b/>
          <w:sz w:val="20"/>
          <w:szCs w:val="20"/>
        </w:rPr>
        <w:t xml:space="preserve"> повестки:</w:t>
      </w:r>
    </w:p>
    <w:p>
      <w:pPr>
        <w:pStyle w:val="Normal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Об определении победителя.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Предлагается признать победителем ОБЩЕСТВО С ОГРАНИЧЕННОЙ ОТВЕТСТВЕННОСТЬЮ ТОРГОВЫЙ ДОМ "ИЛИОН".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/>
      </w:pPr>
      <w:r>
        <w:rPr>
          <w:b/>
          <w:sz w:val="20"/>
          <w:szCs w:val="20"/>
        </w:rPr>
        <w:t xml:space="preserve">Вопрос </w:t>
      </w:r>
      <w:r>
        <w:rPr>
          <w:b/>
          <w:sz w:val="20"/>
          <w:szCs w:val="20"/>
          <w:lang w:val="en-US"/>
        </w:rPr>
        <w:t>5</w:t>
      </w:r>
      <w:r>
        <w:rPr>
          <w:b/>
          <w:sz w:val="20"/>
          <w:szCs w:val="20"/>
        </w:rPr>
        <w:t xml:space="preserve"> повестки:</w:t>
      </w:r>
    </w:p>
    <w:p>
      <w:pPr>
        <w:pStyle w:val="Normal"/>
        <w:spacing w:before="120" w:after="120"/>
        <w:ind w:firstLine="567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 возможности проведения преддоговорных переговоров с победителем.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 с ОБЩЕСТВОМ С ОГРАНИЧЕННОЙ ОТВЕТСТВЕННОСТЬЮ ТОРГОВЫЙ ДОМ "ИЛИОН".</w:t>
      </w:r>
    </w:p>
    <w:p>
      <w:pPr>
        <w:pStyle w:val="Normal"/>
        <w:spacing w:before="0" w:after="0"/>
        <w:ind w:firstLine="567" w:end="0"/>
        <w:contextualSpacing/>
        <w:jc w:val="both"/>
        <w:rPr>
          <w:b/>
          <w:sz w:val="20"/>
          <w:szCs w:val="20"/>
        </w:rPr>
      </w:pPr>
      <w:r>
        <w:rPr>
          <w:sz w:val="20"/>
          <w:szCs w:val="20"/>
        </w:rPr>
        <w:t>Зафиксировать результат преддоговорных переговоров в окончательных условиях заключаемого договора.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РЕШИЛИ: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120" w:after="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Одобрить Сводное заключение Экспертного совета по рассмотрению заявок и подведению итогов открытого конкурентного отбора.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12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Признать заявку ОБЩЕСТВА С ОГРАНИЧЕННОЙ ОТВЕТСТВЕННОСТЬЮ ТОРГОВЫЙ ДОМ "ИЛИОН" соответствующей условиям закупки. 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284" w:leader="none"/>
        </w:tabs>
        <w:spacing w:before="60" w:after="6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Признать закупку несостоявшейся.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08"/>
          <w:tab w:val="left" w:pos="-2835" w:leader="none"/>
          <w:tab w:val="left" w:pos="0" w:leader="none"/>
          <w:tab w:val="left" w:pos="142" w:leader="none"/>
          <w:tab w:val="left" w:pos="284" w:leader="none"/>
        </w:tabs>
        <w:spacing w:before="60" w:after="60"/>
        <w:ind w:hanging="0" w:start="0" w:end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Признать Победителем ОБЩЕСТВО С ОГРАНИЧЕННОЙ ОТВЕТСТВЕННОСТЬЮ ТОРГОВЫЙ ДОМ "ИЛИОН" ИНН 7811429019 (192148, Г.САНКТ-ПЕТЕРБУРГ, УЛ. АВТОГЕННАЯ, Д.6, ОФИС 220). Определить лучшей заявку ОБЩЕСТВА С ОГРАНИЧЕННОЙ ОТВЕТСТВЕННОСТЬЮ ТОРГОВЫЙ ДОМ "ИЛИОН" на общую сумму 6 595 017,12 руб. (с учетом НДС), </w:t>
      </w:r>
      <w:r>
        <w:rPr>
          <w:rFonts w:eastAsia="Calibri"/>
          <w:sz w:val="20"/>
          <w:szCs w:val="20"/>
          <w:lang w:eastAsia="en-US"/>
        </w:rPr>
        <w:t xml:space="preserve">в соответствии с Приложением № 1.  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5. Допускается проведение преддоговорных переговоров с ОБЩЕСТВОМ С ОГРАНИЧЕННОЙ ОТВЕТСТВЕННОСТЬЮ ТОРГОВЫЙ ДОМ "ИЛИОН" с целью уточнения несущественных для заказчика условий договора, а также улучшения технико-коммерческого предложения победителя.</w:t>
      </w:r>
    </w:p>
    <w:p>
      <w:pPr>
        <w:pStyle w:val="Normal"/>
        <w:tabs>
          <w:tab w:val="clear" w:pos="708"/>
          <w:tab w:val="left" w:pos="284" w:leader="none"/>
          <w:tab w:val="left" w:pos="709" w:leader="none"/>
        </w:tabs>
        <w:spacing w:before="120" w:after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Зафиксировать результат преддоговорных переговоров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  <w:t>РЕЗУЛЬТАТЫ ГОЛОСОВАНИЯ:</w:t>
      </w:r>
    </w:p>
    <w:p>
      <w:pPr>
        <w:pStyle w:val="Normal"/>
        <w:widowControl w:val="false"/>
        <w:rPr/>
      </w:pPr>
      <w:r>
        <w:rPr>
          <w:i/>
          <w:sz w:val="20"/>
          <w:szCs w:val="20"/>
        </w:rPr>
        <w:t>«За» 8 членов Комиссии по осуществлению конкурентных закупок АО «Теплосеть Санкт-Петербурга»</w:t>
      </w:r>
    </w:p>
    <w:p>
      <w:pPr>
        <w:pStyle w:val="Normal"/>
        <w:widowControl w:val="false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«Против» 0 членов Комиссии по осуществлению конкурентных закупок АО «Теплосеть Санкт-Петербурга»</w:t>
      </w:r>
    </w:p>
    <w:p>
      <w:pPr>
        <w:pStyle w:val="Normal"/>
        <w:widowControl w:val="false"/>
        <w:ind w:end="-143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«Воздержалось» 0 членов Комиссии по осуществлению конкурентных закупок АО «Теплосеть Санкт-Петербурга»</w:t>
      </w:r>
    </w:p>
    <w:p>
      <w:pPr>
        <w:pStyle w:val="Normal"/>
        <w:widowControl w:val="false"/>
        <w:spacing w:before="120" w:after="120"/>
        <w:jc w:val="both"/>
        <w:rPr>
          <w:b/>
          <w:i/>
          <w:i/>
          <w:sz w:val="20"/>
          <w:szCs w:val="20"/>
        </w:rPr>
      </w:pPr>
      <w:r>
        <w:rPr>
          <w:b/>
          <w:i/>
          <w:sz w:val="20"/>
          <w:szCs w:val="20"/>
        </w:rPr>
      </w:r>
    </w:p>
    <w:p>
      <w:pPr>
        <w:pStyle w:val="Normal"/>
        <w:widowControl w:val="false"/>
        <w:spacing w:before="120" w:after="1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ПОДПИСИ УЧАСТВУЮЩИХ ЧЛЕНОВ КОМИССИИ ПО ОСУЩЕСТВЛЕНИЮ КОНКУРЕНТНЫХ ЗАКУПОК АО «ТЕПЛОСЕТЬ САНКТ-ПЕТЕРБУРГА»:</w:t>
      </w:r>
    </w:p>
    <w:p>
      <w:pPr>
        <w:pStyle w:val="Normal"/>
        <w:widowControl w:val="false"/>
        <w:spacing w:before="120" w:after="120"/>
        <w:ind w:end="-285"/>
        <w:rPr/>
      </w:pPr>
      <w:r>
        <w:rPr/>
        <w:t>Заместитель председателя Комиссии по осуществлению конкурентных закупок АО «Теплосеть Санкт-Петербурга»: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7"/>
        <w:gridCol w:w="542"/>
        <w:gridCol w:w="1792"/>
        <w:gridCol w:w="2653"/>
        <w:gridCol w:w="2673"/>
      </w:tblGrid>
      <w:tr>
        <w:trPr>
          <w:trHeight w:val="364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9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65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7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Чистяков С.С.</w:t>
            </w:r>
          </w:p>
        </w:tc>
      </w:tr>
      <w:tr>
        <w:trPr>
          <w:trHeight w:val="150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65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7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>
      <w:pPr>
        <w:pStyle w:val="Normal"/>
        <w:widowControl w:val="false"/>
        <w:spacing w:before="120" w:after="120"/>
        <w:jc w:val="both"/>
        <w:rPr/>
      </w:pPr>
      <w:r>
        <w:rPr/>
        <w:t>Члены Комиссии по осуществлению конкурентных закупок АО «Теплосеть Санкт-Петербурга»: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8"/>
        <w:gridCol w:w="523"/>
        <w:gridCol w:w="1758"/>
        <w:gridCol w:w="2856"/>
        <w:gridCol w:w="2632"/>
      </w:tblGrid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Буряк И.Н.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Кузнецов Д.Э.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Медведева Н.Л.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Пахунов Е.М.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Пуговкин В.М.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Северовостоков В.В.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Фомичев А.С.</w:t>
            </w:r>
          </w:p>
        </w:tc>
      </w:tr>
      <w:tr>
        <w:trPr>
          <w:trHeight w:val="150" w:hRule="atLeast"/>
        </w:trPr>
        <w:tc>
          <w:tcPr>
            <w:tcW w:w="197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523" w:type="dxa"/>
            <w:tcBorders/>
          </w:tcPr>
          <w:p>
            <w:pPr>
              <w:pStyle w:val="Normal"/>
              <w:widowControl w:val="false"/>
              <w:snapToGrid w:val="false"/>
              <w:ind w:start="432" w:end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(Подпись)</w:t>
            </w:r>
          </w:p>
        </w:tc>
        <w:tc>
          <w:tcPr>
            <w:tcW w:w="2856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за/против/воздержался</w:t>
            </w:r>
          </w:p>
        </w:tc>
        <w:tc>
          <w:tcPr>
            <w:tcW w:w="2632" w:type="dxa"/>
            <w:tcBorders/>
          </w:tcPr>
          <w:p>
            <w:pPr>
              <w:pStyle w:val="Normal"/>
              <w:widowControl w:val="false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(Фамилия И.О.)</w:t>
            </w:r>
          </w:p>
        </w:tc>
      </w:tr>
    </w:tbl>
    <w:p>
      <w:pPr>
        <w:sectPr>
          <w:footerReference w:type="default" r:id="rId2"/>
          <w:footerReference w:type="first" r:id="rId3"/>
          <w:type w:val="nextPage"/>
          <w:pgSz w:w="11906" w:h="16838"/>
          <w:pgMar w:left="1276" w:right="850" w:gutter="0" w:header="0" w:top="567" w:footer="709" w:bottom="765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widowControl w:val="false"/>
        <w:spacing w:before="120" w:after="120"/>
        <w:jc w:val="end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 1 к протоколу от «11» декабря 2025 года № 32515438075_1</w:t>
      </w:r>
    </w:p>
    <w:p>
      <w:pPr>
        <w:pStyle w:val="Normal"/>
        <w:widowControl w:val="false"/>
        <w:spacing w:before="120" w:after="120"/>
        <w:jc w:val="end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62"/>
        <w:gridCol w:w="2368"/>
        <w:gridCol w:w="2939"/>
        <w:gridCol w:w="5145"/>
        <w:gridCol w:w="12"/>
      </w:tblGrid>
      <w:tr>
        <w:trPr>
          <w:trHeight w:val="645" w:hRule="atLeast"/>
        </w:trPr>
        <w:tc>
          <w:tcPr>
            <w:tcW w:w="150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Сводное заключение Экспертного совета по рассмотрению заявок и подведению итогов открытого конкурентного отбора</w:t>
            </w:r>
          </w:p>
        </w:tc>
      </w:tr>
      <w:tr>
        <w:trPr>
          <w:trHeight w:val="495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Принципал</w:t>
            </w:r>
          </w:p>
        </w:tc>
        <w:tc>
          <w:tcPr>
            <w:tcW w:w="10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АО «Теплосеть Санкт-Петербурга»</w:t>
            </w:r>
          </w:p>
        </w:tc>
      </w:tr>
      <w:tr>
        <w:trPr>
          <w:trHeight w:val="660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 закупки</w:t>
            </w:r>
          </w:p>
        </w:tc>
        <w:tc>
          <w:tcPr>
            <w:tcW w:w="10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Поставка люков (4444/2.1.1-240)</w:t>
            </w:r>
          </w:p>
        </w:tc>
      </w:tr>
      <w:tr>
        <w:trPr>
          <w:trHeight w:val="510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Номер закупки в ЕИС</w:t>
            </w:r>
          </w:p>
        </w:tc>
        <w:tc>
          <w:tcPr>
            <w:tcW w:w="10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32515438075</w:t>
            </w:r>
          </w:p>
        </w:tc>
      </w:tr>
      <w:tr>
        <w:trPr>
          <w:trHeight w:val="465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Способ закупки</w:t>
            </w:r>
          </w:p>
        </w:tc>
        <w:tc>
          <w:tcPr>
            <w:tcW w:w="10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Открытый конкурентный отбор в электронной форме</w:t>
            </w:r>
          </w:p>
        </w:tc>
      </w:tr>
      <w:tr>
        <w:trPr>
          <w:trHeight w:val="405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НМЦД, руб. (c НДС)</w:t>
            </w:r>
          </w:p>
        </w:tc>
        <w:tc>
          <w:tcPr>
            <w:tcW w:w="10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6 878 771,60</w:t>
            </w:r>
          </w:p>
        </w:tc>
      </w:tr>
      <w:tr>
        <w:trPr>
          <w:trHeight w:val="300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675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участника процедуры</w:t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Ценовое предложение, руб. (c НДС)</w:t>
            </w:r>
          </w:p>
        </w:tc>
        <w:tc>
          <w:tcPr>
            <w:tcW w:w="2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Отклонение или допуск</w:t>
            </w:r>
          </w:p>
        </w:tc>
        <w:tc>
          <w:tcPr>
            <w:tcW w:w="5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Комментарий</w:t>
            </w:r>
          </w:p>
        </w:tc>
      </w:tr>
      <w:tr>
        <w:trPr>
          <w:trHeight w:val="1275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Участник 5846 </w:t>
              <w:br/>
              <w:t>ОБЩЕСТВО С ОГРАНИЧЕННОЙ ОТВЕТСТВЕННОСТЬЮ "ТОРГОВЫЙ ДОМ ИЛИОН"</w:t>
              <w:br/>
              <w:t>ИНН 7811429019</w:t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6 595 017,12</w:t>
            </w:r>
          </w:p>
        </w:tc>
        <w:tc>
          <w:tcPr>
            <w:tcW w:w="2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Допуск</w:t>
            </w:r>
          </w:p>
        </w:tc>
        <w:tc>
          <w:tcPr>
            <w:tcW w:w="5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Единственный участник. Снижение на 4,13%</w:t>
            </w:r>
          </w:p>
        </w:tc>
      </w:tr>
      <w:tr>
        <w:trPr>
          <w:trHeight w:val="295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0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Баллы участников</w:t>
            </w:r>
          </w:p>
        </w:tc>
      </w:tr>
      <w:tr>
        <w:trPr>
          <w:trHeight w:val="1335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критерия</w:t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Коэффициент значимости показателя критерия</w:t>
            </w:r>
          </w:p>
        </w:tc>
        <w:tc>
          <w:tcPr>
            <w:tcW w:w="80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Участник 5846 </w:t>
              <w:br/>
              <w:t>ОБЩЕСТВО С ОГРАНИЧЕННОЙ ОТВЕТСТВЕННОСТЬЮ "ТОРГОВЫЙ ДОМ ИЛИОН"</w:t>
              <w:br/>
              <w:t>ИНН 7811429019</w:t>
            </w:r>
          </w:p>
        </w:tc>
      </w:tr>
      <w:tr>
        <w:trPr>
          <w:trHeight w:val="300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Ранжирование предложений</w:t>
            </w:r>
          </w:p>
        </w:tc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80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>
        <w:trPr>
          <w:trHeight w:val="930" w:hRule="atLeast"/>
        </w:trPr>
        <w:tc>
          <w:tcPr>
            <w:tcW w:w="4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Предлагается признать победителем:</w:t>
            </w:r>
          </w:p>
        </w:tc>
        <w:tc>
          <w:tcPr>
            <w:tcW w:w="10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Участник 5846 </w:t>
              <w:br/>
              <w:t>ОБЩЕСТВО С ОГРАНИЧЕННОЙ ОТВЕТСТВЕННОСТЬЮ "ТОРГОВЫЙ ДОМ ИЛИОН"</w:t>
              <w:br/>
              <w:t>ИНН 7811429019</w:t>
            </w:r>
          </w:p>
        </w:tc>
      </w:tr>
    </w:tbl>
    <w:p>
      <w:pPr>
        <w:pStyle w:val="Normal"/>
        <w:widowControl w:val="false"/>
        <w:spacing w:before="120" w:after="1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sectPr>
      <w:footerReference w:type="default" r:id="rId4"/>
      <w:footerReference w:type="first" r:id="rId5"/>
      <w:type w:val="nextPage"/>
      <w:pgSz w:orient="landscape" w:w="16838" w:h="11906"/>
      <w:pgMar w:left="1134" w:right="678" w:gutter="0" w:header="0" w:top="709" w:footer="709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i w:val="false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16"/>
        <w:i w:val="false"/>
        <w:b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1134" w:leader="none"/>
      </w:tabs>
      <w:suppressAutoHyphens w:val="true"/>
      <w:spacing w:before="360" w:after="120"/>
      <w:ind w:hanging="1134" w:start="1134" w:end="0"/>
      <w:outlineLvl w:val="1"/>
    </w:pPr>
    <w:rPr>
      <w:b/>
      <w:sz w:val="32"/>
      <w:szCs w:val="20"/>
      <w:lang w:val="en-U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sz w:val="20"/>
      <w:szCs w:val="20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i w:val="false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  <w:color w:val="000000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sz w:val="24"/>
      <w:szCs w:val="24"/>
    </w:rPr>
  </w:style>
  <w:style w:type="character" w:styleId="WW8Num18z1">
    <w:name w:val="WW8Num18z1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9z0">
    <w:name w:val="WW8Num19z0"/>
    <w:qFormat/>
    <w:rPr/>
  </w:style>
  <w:style w:type="character" w:styleId="WW8Num19z1">
    <w:name w:val="WW8Num19z1"/>
    <w:qFormat/>
    <w:rPr>
      <w:b/>
      <w:sz w:val="26"/>
      <w:szCs w:val="26"/>
    </w:rPr>
  </w:style>
  <w:style w:type="character" w:styleId="WW8Num19z2">
    <w:name w:val="WW8Num19z2"/>
    <w:qFormat/>
    <w:rPr>
      <w:b w:val="false"/>
      <w:i w:val="false"/>
    </w:rPr>
  </w:style>
  <w:style w:type="character" w:styleId="WW8Num20z0">
    <w:name w:val="WW8Num20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2z0">
    <w:name w:val="WW8Num22z0"/>
    <w:qFormat/>
    <w:rPr>
      <w:sz w:val="20"/>
      <w:szCs w:val="20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4z0">
    <w:name w:val="WW8Num24z0"/>
    <w:qFormat/>
    <w:rPr/>
  </w:style>
  <w:style w:type="character" w:styleId="WW8Num26z0">
    <w:name w:val="WW8Num26z0"/>
    <w:qFormat/>
    <w:rPr>
      <w:sz w:val="24"/>
      <w:szCs w:val="24"/>
    </w:rPr>
  </w:style>
  <w:style w:type="character" w:styleId="WW8Num26z1">
    <w:name w:val="WW8Num26z1"/>
    <w:qFormat/>
    <w:rPr>
      <w:rFonts w:ascii="Symbol" w:hAnsi="Symbol" w:cs="Symbol"/>
      <w:b w:val="false"/>
      <w:i w:val="false"/>
      <w:sz w:val="24"/>
    </w:rPr>
  </w:style>
  <w:style w:type="character" w:styleId="WW8Num27z0">
    <w:name w:val="WW8Num27z0"/>
    <w:qFormat/>
    <w:rPr>
      <w:sz w:val="20"/>
      <w:szCs w:val="20"/>
    </w:rPr>
  </w:style>
  <w:style w:type="character" w:styleId="WW8Num29z0">
    <w:name w:val="WW8Num29z0"/>
    <w:qFormat/>
    <w:rPr/>
  </w:style>
  <w:style w:type="character" w:styleId="WW8Num29z1">
    <w:name w:val="WW8Num29z1"/>
    <w:qFormat/>
    <w:rPr>
      <w:color w:val="000000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2z1">
    <w:name w:val="WW8Num32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3z0">
    <w:name w:val="WW8Num3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33z1">
    <w:name w:val="WW8Num33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5z0">
    <w:name w:val="WW8Num35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Style12">
    <w:name w:val="Основной шрифт абзаца"/>
    <w:qFormat/>
    <w:rPr/>
  </w:style>
  <w:style w:type="character" w:styleId="PageNumber">
    <w:name w:val="page number"/>
    <w:basedOn w:val="Style12"/>
    <w:rPr/>
  </w:style>
  <w:style w:type="character" w:styleId="Style13">
    <w:name w:val="комментарий"/>
    <w:qFormat/>
    <w:rPr>
      <w:b/>
      <w:i/>
      <w:shd w:fill="FFFF99" w:val="clear"/>
    </w:rPr>
  </w:style>
  <w:style w:type="character" w:styleId="Style14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5">
    <w:name w:val="Нижний колонтитул Знак"/>
    <w:qFormat/>
    <w:rPr>
      <w:sz w:val="24"/>
      <w:szCs w:val="24"/>
    </w:rPr>
  </w:style>
  <w:style w:type="character" w:styleId="Style16">
    <w:name w:val="Подподпункт Знак"/>
    <w:qFormat/>
    <w:rPr>
      <w:sz w:val="28"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character" w:styleId="2">
    <w:name w:val="Заголовок 2 Знак"/>
    <w:qFormat/>
    <w:rPr>
      <w:b/>
      <w:sz w:val="32"/>
    </w:rPr>
  </w:style>
  <w:style w:type="character" w:styleId="Style17">
    <w:name w:val="Основной текст с отступом Знак"/>
    <w:qFormat/>
    <w:rPr>
      <w:sz w:val="24"/>
      <w:szCs w:val="24"/>
    </w:rPr>
  </w:style>
  <w:style w:type="character" w:styleId="Style18">
    <w:name w:val="Основной текст Знак"/>
    <w:qFormat/>
    <w:rPr>
      <w:sz w:val="24"/>
      <w:szCs w:val="24"/>
    </w:rPr>
  </w:style>
  <w:style w:type="character" w:styleId="Style19">
    <w:name w:val="Знак примечания"/>
    <w:qFormat/>
    <w:rPr>
      <w:sz w:val="16"/>
      <w:szCs w:val="16"/>
    </w:rPr>
  </w:style>
  <w:style w:type="character" w:styleId="Style20">
    <w:name w:val="Текст примечания Знак"/>
    <w:basedOn w:val="Style12"/>
    <w:qFormat/>
    <w:rPr/>
  </w:style>
  <w:style w:type="character" w:styleId="Style21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3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4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6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Style27">
    <w:name w:val="Подподпункт"/>
    <w:basedOn w:val="Normal"/>
    <w:qFormat/>
    <w:pPr>
      <w:numPr>
        <w:ilvl w:val="0"/>
        <w:numId w:val="4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Style28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/>
  </w:style>
  <w:style w:type="paragraph" w:styleId="Style29">
    <w:name w:val="Пункт"/>
    <w:basedOn w:val="Normal"/>
    <w:qFormat/>
    <w:pPr>
      <w:tabs>
        <w:tab w:val="clear" w:pos="708"/>
        <w:tab w:val="left" w:pos="1134" w:leader="none"/>
      </w:tabs>
      <w:spacing w:lineRule="auto" w:line="360"/>
      <w:ind w:hanging="1134" w:start="1134" w:end="0"/>
      <w:jc w:val="both"/>
    </w:pPr>
    <w:rPr>
      <w:sz w:val="28"/>
      <w:szCs w:val="20"/>
    </w:rPr>
  </w:style>
  <w:style w:type="paragraph" w:styleId="BodyTextIndent">
    <w:name w:val="Body Text Indent"/>
    <w:basedOn w:val="Normal"/>
    <w:pPr>
      <w:ind w:hanging="0" w:start="-720" w:end="0"/>
      <w:jc w:val="both"/>
    </w:pPr>
    <w:rPr>
      <w:lang w:val="en-US"/>
    </w:rPr>
  </w:style>
  <w:style w:type="paragraph" w:styleId="Style30">
    <w:name w:val="Нумерованный список"/>
    <w:basedOn w:val="BodyText"/>
    <w:qFormat/>
    <w:pPr>
      <w:tabs>
        <w:tab w:val="clear" w:pos="708"/>
        <w:tab w:val="left" w:pos="360" w:leader="none"/>
      </w:tabs>
      <w:autoSpaceDE w:val="false"/>
      <w:spacing w:lineRule="auto" w:line="360" w:before="60" w:after="0"/>
      <w:jc w:val="both"/>
    </w:pPr>
    <w:rPr>
      <w:sz w:val="28"/>
    </w:rPr>
  </w:style>
  <w:style w:type="paragraph" w:styleId="Style31">
    <w:name w:val="Текст примечания"/>
    <w:basedOn w:val="Normal"/>
    <w:qFormat/>
    <w:pPr/>
    <w:rPr>
      <w:sz w:val="20"/>
      <w:szCs w:val="20"/>
    </w:rPr>
  </w:style>
  <w:style w:type="paragraph" w:styleId="Style32">
    <w:name w:val="Тема примечания"/>
    <w:basedOn w:val="Style31"/>
    <w:next w:val="Style31"/>
    <w:qFormat/>
    <w:pPr/>
    <w:rPr>
      <w:b/>
      <w:bCs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2022-08-17T07:40:00Z</dcterms:created>
  <dc:creator/>
  <dc:description/>
  <cp:keywords/>
  <dc:language>en-US</dc:language>
  <cp:lastModifiedBy/>
  <dcterms:modified xsi:type="dcterms:W3CDTF">2025-12-12T08:07:00Z</dcterms:modified>
  <cp:revision>1</cp:revision>
  <dc:subject/>
  <dc:title>Протокол вскрытия конвертов</dc:title>
</cp:coreProperties>
</file>