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before="360" w:after="0"/>
        <w:jc w:val="center"/>
        <w:rPr>
          <w:sz w:val="20"/>
          <w:szCs w:val="20"/>
        </w:rPr>
      </w:pPr>
      <w:r>
        <w:rPr>
          <w:b/>
          <w:sz w:val="20"/>
          <w:szCs w:val="20"/>
        </w:rPr>
        <w:t>ПРОТОКОЛ</w:t>
      </w:r>
    </w:p>
    <w:p>
      <w:pPr>
        <w:pStyle w:val="Normal"/>
        <w:widowControl w:val="false"/>
        <w:jc w:val="center"/>
        <w:rPr>
          <w:i/>
          <w:i/>
          <w:sz w:val="20"/>
          <w:szCs w:val="20"/>
        </w:rPr>
      </w:pPr>
      <w:r>
        <w:rPr>
          <w:sz w:val="20"/>
          <w:szCs w:val="20"/>
        </w:rPr>
        <w:t xml:space="preserve">заседания Комиссии по маркетинговым исследованиям АО «Теплосеть Санкт-Петербурга» по рассмотрению заявок и подведению итогов открытых маркетинговых исследований в электронной форме, </w:t>
      </w:r>
      <w:r>
        <w:rPr>
          <w:color w:val="000000"/>
          <w:sz w:val="20"/>
          <w:szCs w:val="20"/>
        </w:rPr>
        <w:t>участниками которых могут быть только субъекты малого и среднего предпринимательства</w:t>
      </w:r>
      <w:r>
        <w:rPr>
          <w:sz w:val="20"/>
          <w:szCs w:val="20"/>
        </w:rPr>
        <w:t xml:space="preserve">  </w:t>
      </w:r>
    </w:p>
    <w:p>
      <w:pPr>
        <w:pStyle w:val="Normal"/>
        <w:widowControl w:val="false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Санкт-Петербург</w:t>
      </w:r>
    </w:p>
    <w:tbl>
      <w:tblPr>
        <w:tblW w:w="98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6"/>
        <w:gridCol w:w="5103"/>
      </w:tblGrid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/>
            </w:pPr>
            <w:r>
              <w:rPr>
                <w:sz w:val="20"/>
                <w:szCs w:val="20"/>
              </w:rPr>
              <w:t>Номер протокола: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  <w:r>
              <w:rPr>
                <w:sz w:val="20"/>
                <w:szCs w:val="20"/>
              </w:rPr>
              <w:t>32515443677_1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Дата/время проведения заседания: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«12» декабря 2025 года 14:00 (</w:t>
            </w:r>
            <w:r>
              <w:rPr>
                <w:i/>
                <w:sz w:val="20"/>
                <w:szCs w:val="20"/>
              </w:rPr>
              <w:t>по московскому времени)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подписания протокола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«12» декабря 2025 года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Начальная (максимальная) цена с НДС, руб.: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9 238 540,03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поставки товара: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 поставки товара: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 поставки товара: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 исполнения договора: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Участниками могут быть только субъекты МСП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</w:tr>
    </w:tbl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0"/>
        <w:rPr>
          <w:b/>
          <w:sz w:val="20"/>
          <w:szCs w:val="20"/>
        </w:rPr>
      </w:pPr>
      <w:r>
        <w:rPr>
          <w:b/>
          <w:sz w:val="20"/>
          <w:szCs w:val="20"/>
        </w:rPr>
        <w:t>ПРЕДМЕТ ЗАКУПКИ:</w:t>
      </w:r>
    </w:p>
    <w:p>
      <w:pPr>
        <w:pStyle w:val="Normal"/>
        <w:widowControl w:val="false"/>
        <w:jc w:val="both"/>
        <w:rPr>
          <w:sz w:val="20"/>
          <w:szCs w:val="20"/>
        </w:rPr>
      </w:pPr>
      <w:r>
        <w:rPr>
          <w:sz w:val="20"/>
          <w:szCs w:val="20"/>
        </w:rPr>
        <w:t>Лот 1: Поставка песка для выполнения ремонтно-строительных работ (4444/2.1.1-226)</w:t>
      </w:r>
    </w:p>
    <w:p>
      <w:pPr>
        <w:pStyle w:val="Normal"/>
        <w:widowControl w:val="false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0"/>
        <w:rPr>
          <w:b/>
          <w:sz w:val="20"/>
          <w:szCs w:val="20"/>
        </w:rPr>
      </w:pPr>
      <w:r>
        <w:rPr>
          <w:b/>
          <w:sz w:val="20"/>
          <w:szCs w:val="20"/>
        </w:rPr>
        <w:t>ПОВЕСТКА:</w:t>
      </w:r>
    </w:p>
    <w:p>
      <w:pPr>
        <w:pStyle w:val="Normal"/>
        <w:widowControl w:val="false"/>
        <w:jc w:val="both"/>
        <w:rPr/>
      </w:pPr>
      <w:r>
        <w:rPr>
          <w:sz w:val="20"/>
          <w:szCs w:val="20"/>
        </w:rPr>
        <w:t>Рассмотрение заявок и подведение итогов открытых маркетинговых исследований в электронной форме, участниками которых могут быть только субъекты малого и среднего предпринимательства, на право заключения договора на поставку песка для выполнения ремонтно-строительных работ (4444/2.1.1-226).</w:t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Об одобрении Сводного заключения Экспертного совета по рассмотрению заявок и подведению итогов открытых маркетинговых исследований.</w:t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 признании заявок соответствующими условиям закупки.</w:t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Об отклонении заявки.</w:t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Об определении победителя.</w:t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 возможности проведения преддоговорных переговоров.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КОМИССИЯ ПО МАРКЕТИНГОВЫМ ИССЛЕДОВАНИЯМ АО «ТЕПЛОСЕТЬ САНКТ-ПЕТЕРБУРГА»:</w:t>
      </w:r>
    </w:p>
    <w:p>
      <w:pPr>
        <w:pStyle w:val="Normal"/>
        <w:widowControl w:val="false"/>
        <w:spacing w:lineRule="auto" w:line="288" w:before="120" w:after="120"/>
        <w:ind w:end="-285"/>
        <w:contextualSpacing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Заместитель председателя Комиссии по маркетинговым исследованиям АО «Теплосеть Санкт-Петербурга»:</w:t>
      </w:r>
    </w:p>
    <w:p>
      <w:pPr>
        <w:pStyle w:val="Normal"/>
        <w:widowControl w:val="false"/>
        <w:spacing w:lineRule="auto" w:line="288" w:before="120" w:after="120"/>
        <w:contextualSpacing/>
        <w:rPr>
          <w:sz w:val="20"/>
          <w:szCs w:val="20"/>
        </w:rPr>
      </w:pPr>
      <w:r>
        <w:rPr>
          <w:sz w:val="20"/>
          <w:szCs w:val="20"/>
        </w:rPr>
        <w:t>Чистяков С.С.</w:t>
      </w:r>
    </w:p>
    <w:p>
      <w:pPr>
        <w:pStyle w:val="Normal"/>
        <w:widowControl w:val="false"/>
        <w:spacing w:lineRule="auto" w:line="288" w:before="120" w:after="120"/>
        <w:ind w:end="-285"/>
        <w:contextualSpacing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Члены Комиссии по маркетинговым исследованиям АО «Теплосеть Санкт-Петербурга»: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Буряк И.Н.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Кузнецов Д.Э.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Медведева Н.Л.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Пахунов Е.М.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Пуговкин В.М.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Северовостоков В.В.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Фомичев А.С.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УЧАСТИЕ ПРИНИМАЛИ:</w:t>
      </w:r>
    </w:p>
    <w:p>
      <w:pPr>
        <w:pStyle w:val="Normal"/>
        <w:widowControl w:val="false"/>
        <w:spacing w:lineRule="auto" w:line="288" w:before="120" w:after="120"/>
        <w:ind w:end="-285"/>
        <w:contextualSpacing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Заместитель председателя Комиссии по маркетинговым исследованиям АО «Теплосеть Санкт-Петербурга»:</w:t>
      </w:r>
    </w:p>
    <w:p>
      <w:pPr>
        <w:pStyle w:val="Normal"/>
        <w:widowControl w:val="false"/>
        <w:spacing w:lineRule="auto" w:line="288" w:before="120" w:after="120"/>
        <w:contextualSpacing/>
        <w:rPr>
          <w:sz w:val="20"/>
          <w:szCs w:val="20"/>
        </w:rPr>
      </w:pPr>
      <w:r>
        <w:rPr>
          <w:sz w:val="20"/>
          <w:szCs w:val="20"/>
        </w:rPr>
        <w:t>Чистяков С.С.</w:t>
      </w:r>
    </w:p>
    <w:p>
      <w:pPr>
        <w:pStyle w:val="Normal"/>
        <w:widowControl w:val="false"/>
        <w:spacing w:lineRule="auto" w:line="288" w:before="120" w:after="120"/>
        <w:ind w:end="-285"/>
        <w:contextualSpacing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Члены Комиссии по маркетинговым исследованиям АО «Теплосеть Санкт-Петербурга»: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Буряк И.Н.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Кузнецов Д.Э.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Медведева Н.Л.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Пахунов Е.М.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Пуговкин В.М.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Северовостоков В.В.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Фомичев А.С.</w:t>
      </w:r>
    </w:p>
    <w:p>
      <w:pPr>
        <w:pStyle w:val="Normal"/>
        <w:widowControl w:val="false"/>
        <w:spacing w:before="120" w:after="120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ОТСУТСТВОВАЛИ: -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16"/>
        <w:jc w:val="both"/>
        <w:outlineLvl w:val="0"/>
        <w:rPr/>
      </w:pPr>
      <w:r>
        <w:rPr>
          <w:b/>
          <w:sz w:val="20"/>
          <w:szCs w:val="20"/>
        </w:rPr>
        <w:t xml:space="preserve">Присутствовали 8 (восемь) из 8 (восьми) членов комиссии. </w:t>
      </w:r>
      <w:r>
        <w:rPr>
          <w:b/>
          <w:bCs/>
          <w:sz w:val="20"/>
          <w:szCs w:val="20"/>
        </w:rPr>
        <w:t>Комиссия правомочна осуществлять свои функции.</w:t>
      </w:r>
      <w:r>
        <w:rPr>
          <w:b/>
          <w:sz w:val="20"/>
          <w:szCs w:val="20"/>
        </w:rPr>
        <w:t xml:space="preserve"> Кворум для принятия решений имеется. 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16"/>
        <w:jc w:val="both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16"/>
        <w:jc w:val="both"/>
        <w:outlineLvl w:val="0"/>
        <w:rPr/>
      </w:pPr>
      <w:r>
        <w:rPr>
          <w:b/>
          <w:sz w:val="20"/>
          <w:szCs w:val="20"/>
        </w:rPr>
        <w:t xml:space="preserve">ВОПРОСЫ ЗАСЕДАНИЯ КОМИССИИ ПО МАРКЕТИНГОВЫМ ИССЛЕДОВАНИЯМ </w:t>
        <w:br/>
        <w:t>АО «ТЕПЛОСЕТЬ САНКТ-ПЕТЕРБУРГА»:</w:t>
      </w:r>
    </w:p>
    <w:p>
      <w:pPr>
        <w:pStyle w:val="Normal"/>
        <w:widowControl w:val="false"/>
        <w:spacing w:before="120" w:after="1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На участие в закупке было подано 4 (четыре) заявки: </w:t>
      </w:r>
    </w:p>
    <w:tbl>
      <w:tblPr>
        <w:tblW w:w="992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6804"/>
        <w:gridCol w:w="2411"/>
      </w:tblGrid>
      <w:tr>
        <w:trPr>
          <w:tblHeader w:val="true"/>
          <w:trHeight w:val="473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заявки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/>
            </w:pPr>
            <w:r>
              <w:rPr>
                <w:sz w:val="20"/>
                <w:szCs w:val="20"/>
              </w:rPr>
              <w:t>Наименование, ИНН, адрес Участника закупки</w:t>
            </w:r>
          </w:p>
        </w:tc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и время регистрации заявки</w:t>
            </w:r>
          </w:p>
        </w:tc>
      </w:tr>
      <w:tr>
        <w:trPr>
          <w:tblHeader w:val="true"/>
          <w:trHeight w:val="126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ind w:start="34" w:end="0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1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2</w:t>
            </w:r>
          </w:p>
        </w:tc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3</w:t>
            </w:r>
          </w:p>
        </w:tc>
      </w:tr>
      <w:tr>
        <w:trPr>
          <w:trHeight w:val="234" w:hRule="atLeast"/>
        </w:trPr>
        <w:tc>
          <w:tcPr>
            <w:tcW w:w="99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</w:rPr>
              <w:t>Лот № 1:</w:t>
            </w:r>
          </w:p>
        </w:tc>
      </w:tr>
      <w:tr>
        <w:trPr>
          <w:trHeight w:val="474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5686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ОБЩЕСТВО С ОГРАНИЧЕННОЙ ОТВЕТСТВЕННОСТЬЮ "ГАЗКОМПЛЕКТ СЕВЕРО-ЗАПАД"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ИНН 7802841427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195277, г. Санкт-Петербург, пр. Большой Сампсониевский, д. 28, корп..2, лит. Д, помещение 33-Н пом. 1,2</w:t>
            </w:r>
          </w:p>
        </w:tc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02.12.2025 14:41</w:t>
            </w:r>
          </w:p>
        </w:tc>
      </w:tr>
      <w:tr>
        <w:trPr>
          <w:trHeight w:val="474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6864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ОБЩЕСТВО С ОГРАНИЧЕННОЙ ОТВЕТСТВЕННОСТЬЮ "ДК СЕВЕРО-ЗАПАД"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ИНН 4704119200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ЛЕНИНГРАДСКАЯ ОБЛАСТЬ, м.р-н. ВЫБОРГСКИЙ, КАМЕННОГОРСКОЕ, ТЕР. КАМЕННОГОРСКАЯ, ЗД. 1</w:t>
            </w:r>
          </w:p>
        </w:tc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03.12.2025 10:34</w:t>
            </w:r>
          </w:p>
        </w:tc>
      </w:tr>
      <w:tr>
        <w:trPr>
          <w:trHeight w:val="474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6677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ОБЩЕСТВО С ОГРАНИЧЕННОЙ ОТВЕТСТВЕННОСТЬЮ "ПРАЙД"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ИНН 7802675096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194156, Российская федерация, г. Санкт-Петербург, НОВОРОССИЙСКАЯ УЛ., д. 28, к. 2, ЛИТЕР А, ПОМЕЩ. 12-Н, ОФИС 5</w:t>
            </w:r>
          </w:p>
        </w:tc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03.12.2025 11:29</w:t>
            </w:r>
          </w:p>
        </w:tc>
      </w:tr>
      <w:tr>
        <w:trPr>
          <w:trHeight w:val="474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7897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ОБЩЕСТВО С ОГРАНИЧЕННОЙ ОТВЕТСТВЕННОСТЬЮ "ТОРГОВЫЙ ДОМ "ИНГМАР"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ИНН 7806260663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199155, Г.САНКТ-ПЕТЕРБУРГ, вн.тер.г. МУНИЦИПАЛЬНЫЙ ОКРУГ ОСТРОВ ДЕКАБРИСТОВ, УЛ УРАЛЬСКАЯ, Д. 1, К. 2, ЛИТЕРА А, ПОМЕЩ. 123</w:t>
            </w:r>
          </w:p>
        </w:tc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03.12.2025 11:41</w:t>
            </w:r>
          </w:p>
        </w:tc>
      </w:tr>
    </w:tbl>
    <w:p>
      <w:pPr>
        <w:pStyle w:val="Normal"/>
        <w:widowControl w:val="false"/>
        <w:spacing w:before="120" w:after="0"/>
        <w:rPr/>
      </w:pPr>
      <w:r>
        <w:rPr>
          <w:b/>
          <w:sz w:val="20"/>
          <w:szCs w:val="20"/>
        </w:rPr>
        <w:t>Вопрос 1 повестки:</w:t>
      </w:r>
    </w:p>
    <w:p>
      <w:pPr>
        <w:pStyle w:val="Normal"/>
        <w:widowControl w:val="false"/>
        <w:spacing w:before="120" w:after="120"/>
        <w:ind w:firstLine="567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Об одобрении</w:t>
      </w:r>
      <w:r>
        <w:rPr>
          <w:i/>
          <w:sz w:val="20"/>
          <w:szCs w:val="20"/>
        </w:rPr>
        <w:t xml:space="preserve"> </w:t>
      </w:r>
      <w:r>
        <w:rPr>
          <w:sz w:val="20"/>
          <w:szCs w:val="20"/>
        </w:rPr>
        <w:t>Сводного заключения Экспертного совета по рассмотрению заявок и подведению итогов открытых маркетинговых исследований.</w:t>
      </w:r>
    </w:p>
    <w:p>
      <w:pPr>
        <w:pStyle w:val="Normal"/>
        <w:widowControl w:val="false"/>
        <w:spacing w:before="120" w:after="120"/>
        <w:ind w:firstLine="567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Члены Комиссии по маркетинговым исследованиям АО «Теплосеть Санкт-Петербурга» изучили поступившие заявки. Результаты оценки сведены в Сводном заключении Экспертного совета по рассмотрению заявок и подведению итогов открытых маркетинговых исследований (Приложение № 1). </w:t>
      </w:r>
    </w:p>
    <w:p>
      <w:pPr>
        <w:pStyle w:val="Normal"/>
        <w:widowControl w:val="false"/>
        <w:spacing w:before="120" w:after="120"/>
        <w:ind w:firstLine="567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Комиссии по маркетинговым исследованиям АО «Теплосеть Санкт-Петербурга» предлагается одобрить Сводное заключение Экспертного совета по рассмотрению заявок и подведению итогов открытых маркетинговых исследований.</w:t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0"/>
        <w:rPr/>
      </w:pPr>
      <w:r>
        <w:rPr>
          <w:b/>
          <w:sz w:val="20"/>
          <w:szCs w:val="20"/>
        </w:rPr>
        <w:t>Вопрос 2 повестки:</w:t>
      </w:r>
    </w:p>
    <w:p>
      <w:pPr>
        <w:pStyle w:val="Normal"/>
        <w:ind w:firstLine="567" w:end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О признании заявок: 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- ОБЩЕСТВА С ОГРАНИЧЕННОЙ ОТВЕТСТВЕННОСТЬЮ "ГАЗКОМПЛЕКТ СЕВЕРО-ЗАПАД"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- ОБЩЕСТВА С ОГРАНИЧЕННОЙ ОТВЕТСТВЕННОСТЬЮ "ПРАЙД"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- ОБЩЕСТВА С ОГРАНИЧЕННОЙ ОТВЕТСТВЕННОСТЬЮ "ТОРГОВЫЙ ДОМ "ИНГМАР"</w:t>
      </w:r>
    </w:p>
    <w:p>
      <w:pPr>
        <w:pStyle w:val="Normal"/>
        <w:ind w:firstLine="567" w:end="0"/>
        <w:jc w:val="both"/>
        <w:rPr/>
      </w:pPr>
      <w:r>
        <w:rPr>
          <w:sz w:val="20"/>
          <w:szCs w:val="20"/>
        </w:rPr>
        <w:t xml:space="preserve">соответствующими условиям закупки. </w:t>
      </w:r>
    </w:p>
    <w:p>
      <w:pPr>
        <w:pStyle w:val="Normal"/>
        <w:ind w:firstLine="567" w:end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before="120" w:after="0"/>
        <w:rPr>
          <w:b/>
          <w:sz w:val="20"/>
          <w:szCs w:val="20"/>
        </w:rPr>
      </w:pPr>
      <w:r>
        <w:rPr>
          <w:b/>
          <w:sz w:val="20"/>
          <w:szCs w:val="20"/>
        </w:rPr>
        <w:t>Вопрос 3 повестки:</w:t>
      </w:r>
    </w:p>
    <w:p>
      <w:pPr>
        <w:pStyle w:val="Normal"/>
        <w:ind w:firstLine="567" w:end="0"/>
        <w:jc w:val="both"/>
        <w:rPr>
          <w:sz w:val="20"/>
          <w:szCs w:val="20"/>
        </w:rPr>
      </w:pPr>
      <w:r>
        <w:rPr>
          <w:sz w:val="20"/>
          <w:szCs w:val="20"/>
        </w:rPr>
        <w:t>Об отклонении заявки ОБЩЕСТВА С ОГРАНИЧЕННОЙ ОТВЕТСТВЕННОСТЬЮ "ДК СЕВЕРО-ЗАПАД".</w:t>
      </w:r>
    </w:p>
    <w:p>
      <w:pPr>
        <w:pStyle w:val="Normal"/>
        <w:ind w:firstLine="567" w:end="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Причина отклонения:</w:t>
      </w:r>
    </w:p>
    <w:p>
      <w:pPr>
        <w:pStyle w:val="Normal"/>
        <w:ind w:firstLine="567" w:end="0"/>
        <w:jc w:val="both"/>
        <w:rPr/>
      </w:pPr>
      <w:r>
        <w:rPr>
          <w:sz w:val="20"/>
          <w:szCs w:val="20"/>
        </w:rPr>
        <w:t>Срок действия оферты менее 90 (девяносто) дней.</w:t>
      </w:r>
      <w:r>
        <w:rPr>
          <w:bCs/>
          <w:sz w:val="20"/>
          <w:szCs w:val="20"/>
        </w:rPr>
        <w:t xml:space="preserve"> </w:t>
      </w:r>
    </w:p>
    <w:p>
      <w:pPr>
        <w:pStyle w:val="Normal"/>
        <w:ind w:firstLine="567" w:end="0"/>
        <w:jc w:val="both"/>
        <w:rPr>
          <w:sz w:val="20"/>
          <w:szCs w:val="20"/>
        </w:rPr>
      </w:pPr>
      <w:r>
        <w:rPr>
          <w:bCs/>
          <w:sz w:val="20"/>
          <w:szCs w:val="20"/>
        </w:rPr>
        <w:t>Отклонение на основании п.2.6.6 Документации (установления факта указания меньшего срока действия Заявки в соответствии с п. 1.12. Документации).</w:t>
      </w:r>
    </w:p>
    <w:p>
      <w:pPr>
        <w:pStyle w:val="Normal"/>
        <w:widowControl w:val="false"/>
        <w:spacing w:before="120" w:after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0"/>
        <w:rPr/>
      </w:pPr>
      <w:r>
        <w:rPr>
          <w:b/>
          <w:sz w:val="20"/>
          <w:szCs w:val="20"/>
        </w:rPr>
        <w:t>Вопрос 4 повестки:</w:t>
      </w:r>
    </w:p>
    <w:p>
      <w:pPr>
        <w:pStyle w:val="Normal"/>
        <w:widowControl w:val="false"/>
        <w:spacing w:before="120" w:after="120"/>
        <w:ind w:firstLine="567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 выборе наиболее выгодных условий поставки товара.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Предлагается выбрать наиболее выгодные условия поставки товара в заявке ОБЩЕСТВА С ОГРАНИЧЕННОЙ ОТВЕТСТВЕННОСТЬЮ "ТОРГОВЫЙ ДОМ "ИНГМАР".</w:t>
      </w:r>
    </w:p>
    <w:p>
      <w:pPr>
        <w:pStyle w:val="Normal"/>
        <w:spacing w:before="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spacing w:before="120" w:after="0"/>
        <w:rPr/>
      </w:pPr>
      <w:r>
        <w:rPr>
          <w:b/>
          <w:sz w:val="20"/>
          <w:szCs w:val="20"/>
        </w:rPr>
        <w:t>Вопрос 5 повестки:</w:t>
      </w:r>
    </w:p>
    <w:p>
      <w:pPr>
        <w:pStyle w:val="Normal"/>
        <w:spacing w:before="120" w:after="120"/>
        <w:ind w:firstLine="567" w:end="0"/>
        <w:contextualSpacing/>
        <w:jc w:val="both"/>
        <w:rPr/>
      </w:pPr>
      <w:r>
        <w:rPr>
          <w:sz w:val="20"/>
          <w:szCs w:val="20"/>
        </w:rPr>
        <w:t>О возможности проведения преддоговорных переговоров с победителем.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В целях уточнения несущественных для заказчика условий договора, а также улучшения технико-коммерческого предложения победителя допускается проведение преддоговорных переговоров с ОБЩЕСТВОМ С ОГРАНИЧЕННОЙ ОТВЕТСТВЕННОСТЬЮ "ТОРГОВЫЙ ДОМ "ИНГМАР".</w:t>
      </w:r>
    </w:p>
    <w:p>
      <w:pPr>
        <w:pStyle w:val="Normal"/>
        <w:spacing w:before="0" w:after="0"/>
        <w:ind w:firstLine="567" w:end="0"/>
        <w:contextualSpacing/>
        <w:jc w:val="both"/>
        <w:rPr>
          <w:b/>
          <w:sz w:val="20"/>
          <w:szCs w:val="20"/>
        </w:rPr>
      </w:pPr>
      <w:r>
        <w:rPr>
          <w:sz w:val="20"/>
          <w:szCs w:val="20"/>
        </w:rPr>
        <w:t>Зафиксировать результат преддоговорных переговоров в окончательных условиях заключаемого договора.</w:t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0"/>
        <w:rPr>
          <w:b/>
          <w:sz w:val="20"/>
          <w:szCs w:val="20"/>
        </w:rPr>
      </w:pPr>
      <w:r>
        <w:rPr>
          <w:b/>
          <w:sz w:val="20"/>
          <w:szCs w:val="20"/>
        </w:rPr>
        <w:t>РЕШИЛИ: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-2835" w:leader="none"/>
          <w:tab w:val="left" w:pos="284" w:leader="none"/>
        </w:tabs>
        <w:spacing w:before="120" w:after="0"/>
        <w:ind w:hanging="0" w:start="0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Одобрить Сводное заключение Экспертного совета по рассмотрению заявок и подведению итогов открытых маркетинговых исследований.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-2835" w:leader="none"/>
          <w:tab w:val="left" w:pos="284" w:leader="none"/>
        </w:tabs>
        <w:spacing w:before="120" w:after="0"/>
        <w:ind w:hanging="0" w:start="0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Признать заявки: </w:t>
      </w:r>
    </w:p>
    <w:p>
      <w:pPr>
        <w:pStyle w:val="Normal"/>
        <w:jc w:val="both"/>
        <w:rPr/>
      </w:pPr>
      <w:r>
        <w:rPr>
          <w:sz w:val="20"/>
          <w:szCs w:val="20"/>
        </w:rPr>
        <w:t>- ОБЩЕСТВА С ОГРАНИЧЕННОЙ ОТВЕТСТВЕННОСТЬЮ "ГАЗКОМПЛЕКТ СЕВЕРО-ЗАПАД"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- ОБЩЕСТВА С ОГРАНИЧЕННОЙ ОТВЕТСТВЕННОСТЬЮ "ПРАЙД"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- ОБЩЕСТВА С ОГРАНИЧЕННОЙ ОТВЕТСТВЕННОСТЬЮ "ТОРГОВЫЙ ДОМ "ИНГМАР"</w:t>
      </w:r>
    </w:p>
    <w:p>
      <w:pPr>
        <w:pStyle w:val="Normal"/>
        <w:jc w:val="both"/>
        <w:rPr/>
      </w:pPr>
      <w:r>
        <w:rPr>
          <w:sz w:val="20"/>
          <w:szCs w:val="20"/>
        </w:rPr>
        <w:t xml:space="preserve">соответствующими условиям закупки. </w:t>
      </w:r>
    </w:p>
    <w:p>
      <w:pPr>
        <w:pStyle w:val="Normal"/>
        <w:numPr>
          <w:ilvl w:val="0"/>
          <w:numId w:val="2"/>
        </w:numPr>
        <w:ind w:hanging="284" w:start="284" w:end="0"/>
        <w:rPr>
          <w:sz w:val="20"/>
          <w:szCs w:val="20"/>
        </w:rPr>
      </w:pPr>
      <w:r>
        <w:rPr>
          <w:sz w:val="20"/>
          <w:szCs w:val="20"/>
        </w:rPr>
        <w:t>Отклонить заявку ОБЩЕСТВА С ОГРАНИЧЕННОЙ ОТВЕТСТВЕННОСТЬЮ "ДК СЕВЕРО-ЗАПАД".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-2835" w:leader="none"/>
          <w:tab w:val="left" w:pos="0" w:leader="none"/>
          <w:tab w:val="left" w:pos="284" w:leader="none"/>
        </w:tabs>
        <w:spacing w:before="120" w:after="0"/>
        <w:ind w:hanging="0" w:start="0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Признать наиболее выгодные условия поставки товара в заявке ОБЩЕСТВА С ОГРАНИЧЕННОЙ ОТВЕТСТВЕННОСТЬЮ "ТОРГОВЫЙ ДОМ "ИНГМАР" ИНН 7806260663 (199155, Г.САНКТ-ПЕТЕРБУРГ, вн.тер.г. МУНИЦИПАЛЬНЫЙ ОКРУГ ОСТРОВ ДЕКАБРИСТОВ, УЛ УРАЛЬСКАЯ, Д. 1, К. 2, ЛИТЕРА А, ПОМЕЩ. 123), которой присвоен первый порядковый номер, на общую сумму 7 499 200,00 руб. (с учетом НДС), в соответствии с Приложением № 1.  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-2835" w:leader="none"/>
          <w:tab w:val="left" w:pos="284" w:leader="none"/>
        </w:tabs>
        <w:spacing w:before="120" w:after="0"/>
        <w:ind w:hanging="0" w:start="0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Допускается проведение преддоговорных переговоров с ОБЩЕСТВОМ С ОГРАНИЧЕННОЙ ОТВЕТСТВЕННОСТЬЮ "ТОРГОВЫЙ ДОМ "ИНГМАР" с целью уточнения несущественных для заказчика условий договора, а также улучшения технико-коммерческого предложения победителя.</w:t>
      </w:r>
    </w:p>
    <w:p>
      <w:pPr>
        <w:pStyle w:val="Normal"/>
        <w:tabs>
          <w:tab w:val="clear" w:pos="708"/>
          <w:tab w:val="left" w:pos="284" w:leader="none"/>
          <w:tab w:val="left" w:pos="709" w:leader="none"/>
        </w:tabs>
        <w:spacing w:before="120" w:after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Зафиксировать результат преддоговорных переговоров в окончательных условиях заключаемого договора и заключить договор на условиях, согласованных заказчиком и победителем в рамках проведенных преддоговорных переговоров.</w:t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  <w:t>РЕЗУЛЬТАТЫ ГОЛОСОВАНИЯ:</w:t>
      </w:r>
    </w:p>
    <w:p>
      <w:pPr>
        <w:pStyle w:val="Normal"/>
        <w:widowControl w:val="false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«За» 8 членов Комиссии по маркетинговым исследованиям АО «Теплосеть Санкт-Петербурга»</w:t>
      </w:r>
    </w:p>
    <w:p>
      <w:pPr>
        <w:pStyle w:val="Normal"/>
        <w:widowControl w:val="false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«Против» 0 членов Комиссии по маркетинговым исследованиям АО «Теплосеть Санкт-Петербурга»</w:t>
      </w:r>
    </w:p>
    <w:p>
      <w:pPr>
        <w:pStyle w:val="Normal"/>
        <w:widowControl w:val="false"/>
        <w:ind w:end="-143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«Воздержалось» 0 членов Комиссии по маркетинговым исследованиям АО «Теплосеть Санкт-Петербурга»</w:t>
      </w:r>
    </w:p>
    <w:p>
      <w:pPr>
        <w:pStyle w:val="Normal"/>
        <w:widowControl w:val="false"/>
        <w:spacing w:before="120" w:after="120"/>
        <w:jc w:val="both"/>
        <w:rPr>
          <w:b/>
          <w:i/>
          <w:i/>
          <w:sz w:val="20"/>
          <w:szCs w:val="20"/>
        </w:rPr>
      </w:pPr>
      <w:r>
        <w:rPr>
          <w:b/>
          <w:i/>
          <w:sz w:val="20"/>
          <w:szCs w:val="20"/>
        </w:rPr>
      </w:r>
    </w:p>
    <w:p>
      <w:pPr>
        <w:pStyle w:val="Normal"/>
        <w:widowControl w:val="false"/>
        <w:spacing w:before="120" w:after="1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ПОДПИСИ УЧАСТВУЮЩИХ ЧЛЕНОВ КОМИССИИ ПО МАРКЕТИНГОВЫМ ИССЛЕДОВАНИЯМ АО «ТЕПЛОСЕТЬ САНКТ-ПЕТЕРБУРГА»:</w:t>
      </w:r>
    </w:p>
    <w:p>
      <w:pPr>
        <w:pStyle w:val="Normal"/>
        <w:widowControl w:val="false"/>
        <w:spacing w:before="120" w:after="120"/>
        <w:ind w:end="-285"/>
        <w:rPr/>
      </w:pPr>
      <w:r>
        <w:rPr/>
        <w:t>Заместитель председателя Комиссии по маркетинговым исследованиям АО «Теплосеть Санкт-Петербурга»: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87"/>
        <w:gridCol w:w="542"/>
        <w:gridCol w:w="1792"/>
        <w:gridCol w:w="2653"/>
        <w:gridCol w:w="2673"/>
      </w:tblGrid>
      <w:tr>
        <w:trPr>
          <w:trHeight w:val="364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9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65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7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Чистяков С.С.</w:t>
            </w:r>
          </w:p>
        </w:tc>
      </w:tr>
      <w:tr>
        <w:trPr>
          <w:trHeight w:val="150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9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65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7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</w:tbl>
    <w:p>
      <w:pPr>
        <w:pStyle w:val="Normal"/>
        <w:widowControl w:val="false"/>
        <w:spacing w:before="120" w:after="120"/>
        <w:jc w:val="both"/>
        <w:rPr/>
      </w:pPr>
      <w:r>
        <w:rPr/>
        <w:t>Члены Комиссии по маркетинговым исследованиям АО «Теплосеть Санкт-Петербурга»: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78"/>
        <w:gridCol w:w="523"/>
        <w:gridCol w:w="1758"/>
        <w:gridCol w:w="2856"/>
        <w:gridCol w:w="2632"/>
      </w:tblGrid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Буряк И.Н.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Кузнецов Д.Э.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Медведева Н.Л.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Пахунов Е.М.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Пуговкин В.М.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Северовостоков В.В.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Фомичев А.С.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</w:tbl>
    <w:p>
      <w:pPr>
        <w:sectPr>
          <w:footerReference w:type="default" r:id="rId2"/>
          <w:footerReference w:type="first" r:id="rId3"/>
          <w:type w:val="nextPage"/>
          <w:pgSz w:w="11906" w:h="16838"/>
          <w:pgMar w:left="1276" w:right="849" w:gutter="0" w:header="0" w:top="426" w:footer="709" w:bottom="765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widowControl w:val="false"/>
        <w:spacing w:before="120" w:after="120"/>
        <w:ind w:end="-45"/>
        <w:jc w:val="end"/>
        <w:rPr>
          <w:b/>
          <w:sz w:val="20"/>
          <w:szCs w:val="20"/>
        </w:rPr>
      </w:pPr>
      <w:r>
        <w:rPr>
          <w:b/>
          <w:sz w:val="20"/>
          <w:szCs w:val="20"/>
        </w:rPr>
        <w:t>Приложение № 1 к протоколу от «12» декабря 2025 года № 32515443677_1</w:t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18"/>
        <w:gridCol w:w="1366"/>
        <w:gridCol w:w="1748"/>
        <w:gridCol w:w="6132"/>
        <w:gridCol w:w="3147"/>
      </w:tblGrid>
      <w:tr>
        <w:trPr>
          <w:trHeight w:val="645" w:hRule="atLeast"/>
        </w:trPr>
        <w:tc>
          <w:tcPr>
            <w:tcW w:w="1511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Сводное заключение Экспертного совета по рассмотрению заявок и подведению итогов открытых маркетинговых исследований</w:t>
            </w:r>
          </w:p>
        </w:tc>
      </w:tr>
      <w:tr>
        <w:trPr>
          <w:trHeight w:val="255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Принципал</w:t>
            </w:r>
          </w:p>
        </w:tc>
        <w:tc>
          <w:tcPr>
            <w:tcW w:w="1239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АО «Теплосеть Санкт-Петербурга»</w:t>
            </w:r>
          </w:p>
        </w:tc>
      </w:tr>
      <w:tr>
        <w:trPr>
          <w:trHeight w:val="750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Наименование закупки</w:t>
            </w:r>
          </w:p>
        </w:tc>
        <w:tc>
          <w:tcPr>
            <w:tcW w:w="1239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Поставка песка для выполнения ремонтно-строительных работ (4444/2.1.1-226)</w:t>
            </w:r>
          </w:p>
        </w:tc>
      </w:tr>
      <w:tr>
        <w:trPr>
          <w:trHeight w:val="315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Номер закупки в ЕИС</w:t>
            </w:r>
          </w:p>
        </w:tc>
        <w:tc>
          <w:tcPr>
            <w:tcW w:w="1239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32515443677</w:t>
            </w:r>
          </w:p>
        </w:tc>
      </w:tr>
      <w:tr>
        <w:trPr>
          <w:trHeight w:val="585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Способ закупки</w:t>
            </w:r>
          </w:p>
        </w:tc>
        <w:tc>
          <w:tcPr>
            <w:tcW w:w="1239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Открытые маркетинговые исследования в электронной форме, участниками которых могут быть только субъекты малого и среднего предпринимательства</w:t>
            </w:r>
          </w:p>
        </w:tc>
      </w:tr>
      <w:tr>
        <w:trPr>
          <w:trHeight w:val="360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НМЦД, руб. (с НДС)</w:t>
            </w:r>
          </w:p>
        </w:tc>
        <w:tc>
          <w:tcPr>
            <w:tcW w:w="1239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9 238 540,03</w:t>
            </w:r>
          </w:p>
        </w:tc>
      </w:tr>
      <w:tr>
        <w:trPr>
          <w:trHeight w:val="180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27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10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участника процедуры</w:t>
            </w:r>
          </w:p>
        </w:tc>
        <w:tc>
          <w:tcPr>
            <w:tcW w:w="1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Ценовое предложение, руб. (с НДС)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Отклонение или допуск</w:t>
            </w:r>
          </w:p>
        </w:tc>
        <w:tc>
          <w:tcPr>
            <w:tcW w:w="927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Комментарий</w:t>
            </w:r>
          </w:p>
        </w:tc>
      </w:tr>
      <w:tr>
        <w:trPr>
          <w:trHeight w:val="1530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Участник 5686</w:t>
              <w:br/>
              <w:t xml:space="preserve">ООО «ГАЗКОМПЛЕКТ СЕВЕРО-ЗАПАД» </w:t>
              <w:br/>
              <w:t>(ИНН 7802841427)</w:t>
            </w:r>
          </w:p>
        </w:tc>
        <w:tc>
          <w:tcPr>
            <w:tcW w:w="1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7 659 648,00 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Допуск</w:t>
            </w:r>
          </w:p>
        </w:tc>
        <w:tc>
          <w:tcPr>
            <w:tcW w:w="927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Снижение на 17,09%</w:t>
              <w:br/>
            </w:r>
            <w:r>
              <w:rPr>
                <w:sz w:val="20"/>
                <w:szCs w:val="20"/>
              </w:rPr>
              <w:t>По форме 7.4.6 участник предоставил 20 договоров. В результате проверки 4 договора (п.1 - п.4 за 2025г.) не учтены, так как договоры исполнены вне оцениваемого периода. 6 договоров (за 2023г.: п.1 - п.3; за 2024г.: п.3, п.5, п.11) учтены на сумму документов подтверждающих факт поставки товаров, аналогичных предмету закупки.</w:t>
            </w:r>
            <w:r>
              <w:rPr>
                <w:b/>
                <w:bCs/>
                <w:sz w:val="20"/>
                <w:szCs w:val="20"/>
              </w:rPr>
              <w:br/>
              <w:t>Учтено 16 договоров на общую сумму 2 784 912,00 руб.</w:t>
            </w:r>
          </w:p>
        </w:tc>
      </w:tr>
      <w:tr>
        <w:trPr>
          <w:trHeight w:val="1350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Участник 6677</w:t>
              <w:br/>
              <w:t xml:space="preserve">ООО «ПРАЙД» </w:t>
              <w:br/>
              <w:t>(ИНН 7802675096)</w:t>
            </w:r>
          </w:p>
        </w:tc>
        <w:tc>
          <w:tcPr>
            <w:tcW w:w="1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9 238 540,03 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Допуск</w:t>
            </w:r>
          </w:p>
        </w:tc>
        <w:tc>
          <w:tcPr>
            <w:tcW w:w="927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Снижение на 0,00%</w:t>
              <w:br/>
            </w:r>
            <w:r>
              <w:rPr>
                <w:sz w:val="20"/>
                <w:szCs w:val="20"/>
              </w:rPr>
              <w:t>По форме 7.4.6 участник предоставил 14 договоров. В результате проверки 5 договоров (за 2025г.) не учтены, так как договоры исполнены вне оцениваемого периода. 4 договора (за 2022г.: п.1; за 2023г.: п.1; за 2024г.: п.1, п.2) не учтены, так как поставленный товар не соответствует предмету закупки.</w:t>
            </w:r>
            <w:r>
              <w:rPr>
                <w:b/>
                <w:bCs/>
                <w:sz w:val="20"/>
                <w:szCs w:val="20"/>
              </w:rPr>
              <w:br/>
              <w:t>Учтено 5 договоров на общую сумму 148 193 359,68 руб.</w:t>
            </w:r>
          </w:p>
        </w:tc>
      </w:tr>
      <w:tr>
        <w:trPr>
          <w:trHeight w:val="975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Участник 6864</w:t>
              <w:br/>
              <w:t xml:space="preserve">ООО «ДК Северо-Запад» </w:t>
              <w:br/>
              <w:t>(ИНН 4704119200)</w:t>
            </w:r>
          </w:p>
        </w:tc>
        <w:tc>
          <w:tcPr>
            <w:tcW w:w="1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Отклонение</w:t>
            </w:r>
          </w:p>
        </w:tc>
        <w:tc>
          <w:tcPr>
            <w:tcW w:w="927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Срок действия оферты менее 90 (девяносто) дней.</w:t>
            </w:r>
            <w:r>
              <w:rPr>
                <w:b/>
                <w:bCs/>
                <w:sz w:val="20"/>
                <w:szCs w:val="20"/>
              </w:rPr>
              <w:br/>
              <w:t xml:space="preserve">Отклонение на основании п.2.6.6 Документации (установления факта указания меньшего срока действия Заявки в соответствии с п. 1.12. Документации). </w:t>
            </w:r>
          </w:p>
        </w:tc>
      </w:tr>
      <w:tr>
        <w:trPr>
          <w:trHeight w:val="1635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Участник 7897</w:t>
              <w:br/>
              <w:t xml:space="preserve">ООО «ТД «Ингмар» </w:t>
              <w:br/>
              <w:t>(ИНН 7806260663)</w:t>
            </w:r>
          </w:p>
        </w:tc>
        <w:tc>
          <w:tcPr>
            <w:tcW w:w="1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7 499 200,00 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Допуск</w:t>
            </w:r>
          </w:p>
        </w:tc>
        <w:tc>
          <w:tcPr>
            <w:tcW w:w="927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Снижение на 18,83%</w:t>
              <w:br/>
            </w:r>
            <w:r>
              <w:rPr>
                <w:sz w:val="20"/>
                <w:szCs w:val="20"/>
              </w:rPr>
              <w:t>По форме 7.4.6 участник предоставил 19 договоров. В результате проверки договор п.1 не учтен, так как исполнен вне оцениваемого периода. 6 договоров (п.2 - п.4, п.11 - п.13) учтены на сумму документов, подтверждающих факт поставки товаров, аналогичных предмету закупки. 5 договоров (п.6, п.7, п.9, п.10, п.14) не учтены, так как поставленный товар не соответствует предмету закупки.</w:t>
            </w:r>
            <w:r>
              <w:rPr>
                <w:b/>
                <w:bCs/>
                <w:sz w:val="20"/>
                <w:szCs w:val="20"/>
              </w:rPr>
              <w:br/>
              <w:t>Учтено 13 договоров на общую сумму 265 358 225,38 руб.</w:t>
            </w:r>
          </w:p>
        </w:tc>
      </w:tr>
      <w:tr>
        <w:trPr>
          <w:trHeight w:val="327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27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02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Баллы участников</w:t>
            </w:r>
          </w:p>
        </w:tc>
      </w:tr>
      <w:tr>
        <w:trPr>
          <w:trHeight w:val="960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критерия</w:t>
            </w:r>
          </w:p>
        </w:tc>
        <w:tc>
          <w:tcPr>
            <w:tcW w:w="1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Коэффициент значимости показателя критерия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Участник 5686</w:t>
              <w:br/>
              <w:t xml:space="preserve">ООО «ГАЗКОМПЛЕКТ СЕВЕРО-ЗАПАД» </w:t>
              <w:br/>
              <w:t>(ИНН 7802841427)</w:t>
            </w:r>
          </w:p>
        </w:tc>
        <w:tc>
          <w:tcPr>
            <w:tcW w:w="6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Участник 6677</w:t>
              <w:br/>
              <w:t xml:space="preserve">ООО «ПРАЙД» </w:t>
              <w:br/>
              <w:t>(ИНН 7802675096)</w:t>
            </w:r>
          </w:p>
        </w:tc>
        <w:tc>
          <w:tcPr>
            <w:tcW w:w="3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Участник 7897</w:t>
              <w:br/>
              <w:t xml:space="preserve">ООО «ТД «Ингмар» </w:t>
              <w:br/>
              <w:t>(ИНН 7806260663)</w:t>
            </w:r>
          </w:p>
        </w:tc>
      </w:tr>
      <w:tr>
        <w:trPr>
          <w:trHeight w:val="255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 Цена договора</w:t>
            </w:r>
          </w:p>
        </w:tc>
        <w:tc>
          <w:tcPr>
            <w:tcW w:w="1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0,85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83,22</w:t>
            </w:r>
          </w:p>
        </w:tc>
        <w:tc>
          <w:tcPr>
            <w:tcW w:w="6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69,00</w:t>
            </w:r>
          </w:p>
        </w:tc>
        <w:tc>
          <w:tcPr>
            <w:tcW w:w="3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85,00</w:t>
            </w:r>
          </w:p>
        </w:tc>
      </w:tr>
      <w:tr>
        <w:trPr>
          <w:trHeight w:val="255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 Квалификация Участников</w:t>
            </w:r>
          </w:p>
        </w:tc>
        <w:tc>
          <w:tcPr>
            <w:tcW w:w="1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0,15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0,16</w:t>
            </w:r>
          </w:p>
        </w:tc>
        <w:tc>
          <w:tcPr>
            <w:tcW w:w="6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8,38</w:t>
            </w:r>
          </w:p>
        </w:tc>
        <w:tc>
          <w:tcPr>
            <w:tcW w:w="3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15,00</w:t>
            </w:r>
          </w:p>
        </w:tc>
      </w:tr>
      <w:tr>
        <w:trPr>
          <w:trHeight w:val="1605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Опыт поставки товаров, аналогичных предмету закупки, за 2022-2024 гг.</w:t>
              <w:br/>
              <w:t>(подтверждается предоставлением формы № 7.4.6, копиями Договоров, товарных накладных или других документов, подтверждающих факт поставки)</w:t>
            </w:r>
          </w:p>
        </w:tc>
        <w:tc>
          <w:tcPr>
            <w:tcW w:w="1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100,00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1,05</w:t>
            </w:r>
          </w:p>
        </w:tc>
        <w:tc>
          <w:tcPr>
            <w:tcW w:w="6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55,85</w:t>
            </w:r>
          </w:p>
        </w:tc>
        <w:tc>
          <w:tcPr>
            <w:tcW w:w="3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100,00</w:t>
            </w:r>
          </w:p>
        </w:tc>
      </w:tr>
      <w:tr>
        <w:trPr>
          <w:trHeight w:val="510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Сумма баллов с учетом весовых коэффициентов</w:t>
            </w:r>
          </w:p>
        </w:tc>
        <w:tc>
          <w:tcPr>
            <w:tcW w:w="1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83,38</w:t>
            </w:r>
          </w:p>
        </w:tc>
        <w:tc>
          <w:tcPr>
            <w:tcW w:w="6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77,38</w:t>
            </w:r>
          </w:p>
        </w:tc>
        <w:tc>
          <w:tcPr>
            <w:tcW w:w="3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100,00</w:t>
            </w:r>
          </w:p>
        </w:tc>
      </w:tr>
      <w:tr>
        <w:trPr>
          <w:trHeight w:val="300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Ранжирование предложений</w:t>
            </w:r>
          </w:p>
        </w:tc>
        <w:tc>
          <w:tcPr>
            <w:tcW w:w="1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  <w:tr>
        <w:trPr>
          <w:trHeight w:val="535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Предлагается признать победителем:</w:t>
            </w:r>
          </w:p>
        </w:tc>
        <w:tc>
          <w:tcPr>
            <w:tcW w:w="1239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Участник 7897</w:t>
              <w:br/>
              <w:t>ООО «ТД «Ингмар» (ИНН 7806260663)</w:t>
            </w:r>
          </w:p>
        </w:tc>
      </w:tr>
    </w:tbl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sectPr>
      <w:footerReference w:type="default" r:id="rId4"/>
      <w:footerReference w:type="first" r:id="rId5"/>
      <w:type w:val="nextPage"/>
      <w:pgSz w:orient="landscape" w:w="16838" w:h="11906"/>
      <w:pgMar w:left="1134" w:right="440" w:gutter="0" w:header="0" w:top="851" w:footer="709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i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567"/>
      </w:pPr>
      <w:rPr/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16"/>
        <w:i w:val="false"/>
        <w:b w:val="false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8"/>
        <w:tab w:val="left" w:pos="1134" w:leader="none"/>
      </w:tabs>
      <w:suppressAutoHyphens w:val="true"/>
      <w:spacing w:before="360" w:after="120"/>
      <w:ind w:hanging="1134" w:start="1134" w:end="0"/>
      <w:outlineLvl w:val="1"/>
    </w:pPr>
    <w:rPr>
      <w:b/>
      <w:sz w:val="32"/>
      <w:szCs w:val="20"/>
      <w:lang w:val="en-U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sz w:val="20"/>
      <w:szCs w:val="20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i w:val="false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  <w:color w:val="000000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5z0">
    <w:name w:val="WW8Num15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8z0">
    <w:name w:val="WW8Num18z0"/>
    <w:qFormat/>
    <w:rPr>
      <w:sz w:val="24"/>
      <w:szCs w:val="24"/>
    </w:rPr>
  </w:style>
  <w:style w:type="character" w:styleId="WW8Num18z1">
    <w:name w:val="WW8Num18z1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19z0">
    <w:name w:val="WW8Num19z0"/>
    <w:qFormat/>
    <w:rPr/>
  </w:style>
  <w:style w:type="character" w:styleId="WW8Num19z1">
    <w:name w:val="WW8Num19z1"/>
    <w:qFormat/>
    <w:rPr>
      <w:b/>
      <w:sz w:val="26"/>
      <w:szCs w:val="26"/>
    </w:rPr>
  </w:style>
  <w:style w:type="character" w:styleId="WW8Num19z2">
    <w:name w:val="WW8Num19z2"/>
    <w:qFormat/>
    <w:rPr>
      <w:b w:val="false"/>
      <w:i w:val="false"/>
    </w:rPr>
  </w:style>
  <w:style w:type="character" w:styleId="WW8Num20z0">
    <w:name w:val="WW8Num20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2z0">
    <w:name w:val="WW8Num22z0"/>
    <w:qFormat/>
    <w:rPr>
      <w:sz w:val="20"/>
      <w:szCs w:val="20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4z0">
    <w:name w:val="WW8Num24z0"/>
    <w:qFormat/>
    <w:rPr/>
  </w:style>
  <w:style w:type="character" w:styleId="WW8Num26z0">
    <w:name w:val="WW8Num26z0"/>
    <w:qFormat/>
    <w:rPr>
      <w:sz w:val="24"/>
      <w:szCs w:val="24"/>
    </w:rPr>
  </w:style>
  <w:style w:type="character" w:styleId="WW8Num26z1">
    <w:name w:val="WW8Num26z1"/>
    <w:qFormat/>
    <w:rPr>
      <w:rFonts w:ascii="Symbol" w:hAnsi="Symbol" w:cs="Symbol"/>
      <w:b w:val="false"/>
      <w:i w:val="false"/>
      <w:sz w:val="24"/>
    </w:rPr>
  </w:style>
  <w:style w:type="character" w:styleId="WW8Num27z0">
    <w:name w:val="WW8Num27z0"/>
    <w:qFormat/>
    <w:rPr>
      <w:sz w:val="20"/>
      <w:szCs w:val="20"/>
    </w:rPr>
  </w:style>
  <w:style w:type="character" w:styleId="WW8Num29z0">
    <w:name w:val="WW8Num29z0"/>
    <w:qFormat/>
    <w:rPr/>
  </w:style>
  <w:style w:type="character" w:styleId="WW8Num29z1">
    <w:name w:val="WW8Num29z1"/>
    <w:qFormat/>
    <w:rPr>
      <w:color w:val="000000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32z1">
    <w:name w:val="WW8Num32z1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33z0">
    <w:name w:val="WW8Num33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8"/>
      <w:sz w:val="28"/>
      <w:szCs w:val="28"/>
      <w:vertAlign w:val="baseline"/>
    </w:rPr>
  </w:style>
  <w:style w:type="character" w:styleId="WW8Num33z1">
    <w:name w:val="WW8Num33z1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8"/>
      <w:vertAlign w:val="baseli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35z0">
    <w:name w:val="WW8Num35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Style12">
    <w:name w:val="Основной шрифт абзаца"/>
    <w:qFormat/>
    <w:rPr/>
  </w:style>
  <w:style w:type="character" w:styleId="PageNumber">
    <w:name w:val="page number"/>
    <w:basedOn w:val="Style12"/>
    <w:rPr/>
  </w:style>
  <w:style w:type="character" w:styleId="Style13">
    <w:name w:val="комментарий"/>
    <w:qFormat/>
    <w:rPr>
      <w:b/>
      <w:i/>
      <w:shd w:fill="FFFF99" w:val="clear"/>
    </w:rPr>
  </w:style>
  <w:style w:type="character" w:styleId="Style14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5">
    <w:name w:val="Нижний колонтитул Знак"/>
    <w:qFormat/>
    <w:rPr>
      <w:sz w:val="24"/>
      <w:szCs w:val="24"/>
    </w:rPr>
  </w:style>
  <w:style w:type="character" w:styleId="Style16">
    <w:name w:val="Подподпункт Знак"/>
    <w:qFormat/>
    <w:rPr>
      <w:sz w:val="28"/>
    </w:rPr>
  </w:style>
  <w:style w:type="character" w:styleId="FontStyle128">
    <w:name w:val="Font Style128"/>
    <w:qFormat/>
    <w:rPr>
      <w:rFonts w:ascii="Times New Roman" w:hAnsi="Times New Roman" w:cs="Times New Roman"/>
      <w:color w:val="000000"/>
      <w:sz w:val="26"/>
      <w:szCs w:val="26"/>
    </w:rPr>
  </w:style>
  <w:style w:type="character" w:styleId="2">
    <w:name w:val="Заголовок 2 Знак"/>
    <w:qFormat/>
    <w:rPr>
      <w:b/>
      <w:sz w:val="32"/>
    </w:rPr>
  </w:style>
  <w:style w:type="character" w:styleId="Style17">
    <w:name w:val="Основной текст с отступом Знак"/>
    <w:qFormat/>
    <w:rPr>
      <w:sz w:val="24"/>
      <w:szCs w:val="24"/>
    </w:rPr>
  </w:style>
  <w:style w:type="character" w:styleId="Style18">
    <w:name w:val="Основной текст Знак"/>
    <w:qFormat/>
    <w:rPr>
      <w:sz w:val="24"/>
      <w:szCs w:val="24"/>
    </w:rPr>
  </w:style>
  <w:style w:type="character" w:styleId="Style19">
    <w:name w:val="Знак примечания"/>
    <w:qFormat/>
    <w:rPr>
      <w:sz w:val="16"/>
      <w:szCs w:val="16"/>
    </w:rPr>
  </w:style>
  <w:style w:type="character" w:styleId="Style20">
    <w:name w:val="Текст примечания Знак"/>
    <w:basedOn w:val="Style12"/>
    <w:qFormat/>
    <w:rPr/>
  </w:style>
  <w:style w:type="character" w:styleId="Style21">
    <w:name w:val="Тема примечания Знак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3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4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6">
    <w:name w:val="Обычный (веб)"/>
    <w:basedOn w:val="Normal"/>
    <w:qFormat/>
    <w:pPr>
      <w:spacing w:before="280" w:after="280"/>
    </w:pPr>
    <w:rPr>
      <w:rFonts w:ascii="Arial" w:hAnsi="Arial" w:cs="Arial"/>
      <w:color w:val="283555"/>
      <w:sz w:val="20"/>
      <w:szCs w:val="20"/>
    </w:rPr>
  </w:style>
  <w:style w:type="paragraph" w:styleId="Style27">
    <w:name w:val="Подподпункт"/>
    <w:basedOn w:val="Normal"/>
    <w:qFormat/>
    <w:pPr>
      <w:numPr>
        <w:ilvl w:val="0"/>
        <w:numId w:val="4"/>
      </w:numPr>
      <w:tabs>
        <w:tab w:val="clear" w:pos="708"/>
        <w:tab w:val="left" w:pos="927" w:leader="none"/>
      </w:tabs>
      <w:spacing w:lineRule="auto" w:line="360"/>
      <w:ind w:hanging="360" w:start="927" w:end="0"/>
      <w:jc w:val="both"/>
    </w:pPr>
    <w:rPr>
      <w:sz w:val="28"/>
      <w:szCs w:val="20"/>
      <w:lang w:val="en-US"/>
    </w:rPr>
  </w:style>
  <w:style w:type="paragraph" w:styleId="Style28">
    <w:name w:val="Абзац списка"/>
    <w:basedOn w:val="Normal"/>
    <w:qFormat/>
    <w:pPr>
      <w:widowControl w:val="false"/>
      <w:autoSpaceDE w:val="false"/>
      <w:spacing w:before="0" w:after="0"/>
      <w:ind w:hanging="0" w:start="720" w:end="0"/>
      <w:contextualSpacing/>
    </w:pPr>
    <w:rPr/>
  </w:style>
  <w:style w:type="paragraph" w:styleId="Style29">
    <w:name w:val="Пункт"/>
    <w:basedOn w:val="Normal"/>
    <w:qFormat/>
    <w:pPr>
      <w:tabs>
        <w:tab w:val="clear" w:pos="708"/>
        <w:tab w:val="left" w:pos="1134" w:leader="none"/>
      </w:tabs>
      <w:spacing w:lineRule="auto" w:line="360"/>
      <w:ind w:hanging="1134" w:start="1134" w:end="0"/>
      <w:jc w:val="both"/>
    </w:pPr>
    <w:rPr>
      <w:sz w:val="28"/>
      <w:szCs w:val="20"/>
    </w:rPr>
  </w:style>
  <w:style w:type="paragraph" w:styleId="BodyTextIndent">
    <w:name w:val="Body Text Indent"/>
    <w:basedOn w:val="Normal"/>
    <w:pPr>
      <w:ind w:hanging="0" w:start="-720" w:end="0"/>
      <w:jc w:val="both"/>
    </w:pPr>
    <w:rPr>
      <w:lang w:val="en-US"/>
    </w:rPr>
  </w:style>
  <w:style w:type="paragraph" w:styleId="Style30">
    <w:name w:val="Нумерованный список"/>
    <w:basedOn w:val="BodyText"/>
    <w:qFormat/>
    <w:pPr>
      <w:tabs>
        <w:tab w:val="clear" w:pos="708"/>
        <w:tab w:val="left" w:pos="360" w:leader="none"/>
      </w:tabs>
      <w:autoSpaceDE w:val="false"/>
      <w:spacing w:lineRule="auto" w:line="360" w:before="60" w:after="0"/>
      <w:jc w:val="both"/>
    </w:pPr>
    <w:rPr>
      <w:sz w:val="28"/>
    </w:rPr>
  </w:style>
  <w:style w:type="paragraph" w:styleId="Style31">
    <w:name w:val="Текст примечания"/>
    <w:basedOn w:val="Normal"/>
    <w:qFormat/>
    <w:pPr/>
    <w:rPr>
      <w:sz w:val="20"/>
      <w:szCs w:val="20"/>
    </w:rPr>
  </w:style>
  <w:style w:type="paragraph" w:styleId="Style32">
    <w:name w:val="Тема примечания"/>
    <w:basedOn w:val="Style31"/>
    <w:next w:val="Style31"/>
    <w:qFormat/>
    <w:pPr/>
    <w:rPr>
      <w:b/>
      <w:bCs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2022-08-17T07:40:00Z</dcterms:created>
  <dc:creator/>
  <dc:description/>
  <cp:keywords/>
  <dc:language>en-US</dc:language>
  <cp:lastModifiedBy/>
  <dcterms:modified xsi:type="dcterms:W3CDTF">2025-12-12T10:04:00Z</dcterms:modified>
  <cp:revision>1</cp:revision>
  <dc:subject/>
  <dc:title>Протокол вскрытия конвертов</dc:title>
</cp:coreProperties>
</file>