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Протокол №РМР/5661</w:t>
      </w:r>
    </w:p>
    <w:p>
      <w:pPr>
        <w:pStyle w:val="Normal"/>
        <w:widowControl w:val="false"/>
        <w:suppressAutoHyphens w:val="true"/>
        <w:spacing w:lineRule="auto" w:line="240"/>
        <w:ind w:hanging="0" w:start="-142" w:end="-306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очно-заочного заседания Постоянно действующей конкурсной комиссии (далее - Комиссия) по рассмотрению, ранжированию заявок Участников и подведению итогов закупки</w:t>
      </w:r>
    </w:p>
    <w:p>
      <w:pPr>
        <w:pStyle w:val="Normal"/>
        <w:widowControl w:val="false"/>
        <w:suppressAutoHyphens w:val="true"/>
        <w:spacing w:lineRule="auto" w:line="240" w:before="0" w:after="120"/>
        <w:ind w:hanging="0" w:start="-142" w:end="-306"/>
        <w:jc w:val="center"/>
        <w:rPr>
          <w:b/>
          <w:sz w:val="23"/>
          <w:szCs w:val="23"/>
        </w:rPr>
      </w:pPr>
      <w:r>
        <w:rPr>
          <w:b/>
          <w:bCs/>
          <w:kern w:val="2"/>
          <w:sz w:val="23"/>
          <w:szCs w:val="23"/>
        </w:rPr>
        <w:t>(ЕИС</w:t>
      </w:r>
      <w:r>
        <w:rPr>
          <w:b/>
          <w:sz w:val="23"/>
          <w:szCs w:val="23"/>
        </w:rPr>
        <w:t xml:space="preserve"> № </w:t>
      </w:r>
      <w:r>
        <w:rPr>
          <w:b/>
          <w:kern w:val="2"/>
          <w:sz w:val="23"/>
          <w:szCs w:val="23"/>
        </w:rPr>
        <w:t>32515481728</w:t>
      </w:r>
      <w:r>
        <w:rPr>
          <w:b/>
          <w:sz w:val="23"/>
          <w:szCs w:val="23"/>
        </w:rPr>
        <w:t>)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62"/>
        <w:gridCol w:w="2324"/>
        <w:gridCol w:w="2637"/>
      </w:tblGrid>
      <w:tr>
        <w:trPr>
          <w:trHeight w:val="495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14" w:end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Место заседания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принятия решения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подписания протокола</w:t>
            </w:r>
          </w:p>
        </w:tc>
      </w:tr>
      <w:tr>
        <w:trPr>
          <w:trHeight w:val="94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hanging="0" w:end="0"/>
              <w:jc w:val="center"/>
              <w:rPr/>
            </w:pPr>
            <w:r>
              <w:rPr>
                <w:szCs w:val="24"/>
              </w:rPr>
              <w:t>г. Москва, 2-й Павелецкий проезд, д.3, стр.2, Департамент организации конкурсных процедур ПАО «</w:t>
            </w:r>
            <w:r>
              <w:rPr>
                <w:bCs/>
                <w:szCs w:val="24"/>
              </w:rPr>
              <w:t>Россети Московский регион</w:t>
            </w:r>
            <w:r>
              <w:rPr>
                <w:szCs w:val="24"/>
              </w:rPr>
              <w:t>»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ind w:hanging="0" w:end="0"/>
              <w:jc w:val="center"/>
              <w:rPr>
                <w:b/>
                <w:bCs/>
                <w:szCs w:val="24"/>
                <w:lang w:val="en-US"/>
              </w:rPr>
            </w:pPr>
            <w:r>
              <w:rPr>
                <w:b/>
                <w:bCs/>
                <w:szCs w:val="24"/>
              </w:rPr>
              <w:t>11.12.20</w:t>
            </w:r>
            <w:r>
              <w:rPr>
                <w:b/>
                <w:bCs/>
                <w:szCs w:val="24"/>
                <w:lang w:val="en-US"/>
              </w:rPr>
              <w:t>2</w:t>
            </w:r>
            <w:r>
              <w:rPr>
                <w:b/>
                <w:bCs/>
                <w:szCs w:val="24"/>
              </w:rPr>
              <w:t>5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ind w:hanging="0" w:end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12.12.20</w:t>
            </w:r>
            <w:r>
              <w:rPr>
                <w:b/>
                <w:bCs/>
                <w:szCs w:val="24"/>
                <w:lang w:val="en-US"/>
              </w:rPr>
              <w:t>2</w:t>
            </w:r>
            <w:r>
              <w:rPr>
                <w:b/>
                <w:bCs/>
                <w:szCs w:val="24"/>
              </w:rPr>
              <w:t>5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/>
      </w:pPr>
      <w:r>
        <w:rPr>
          <w:rFonts w:cs="Times New Roman" w:ascii="Times New Roman" w:hAnsi="Times New Roman"/>
          <w:b w:val="false"/>
          <w:bCs w:val="false"/>
          <w:kern w:val="0"/>
          <w:sz w:val="24"/>
          <w:szCs w:val="24"/>
        </w:rPr>
        <w:t xml:space="preserve">Настоящий запрос цен по результатам предварительного отбора в электронной форме (далее – закупка) проводится с использованием функционала электронной торговой площадки АО «Российский </w:t>
      </w:r>
      <w:r>
        <w:rPr>
          <w:rFonts w:cs="Times New Roman" w:ascii="Times New Roman" w:hAnsi="Times New Roman"/>
          <w:b w:val="false"/>
          <w:sz w:val="24"/>
          <w:szCs w:val="24"/>
        </w:rPr>
        <w:t>аукционный дом</w:t>
      </w:r>
      <w:r>
        <w:rPr>
          <w:rFonts w:cs="Times New Roman" w:ascii="Times New Roman" w:hAnsi="Times New Roman"/>
          <w:b w:val="false"/>
          <w:bCs w:val="false"/>
          <w:kern w:val="0"/>
          <w:sz w:val="24"/>
          <w:szCs w:val="24"/>
        </w:rPr>
        <w:t>» (</w:t>
      </w:r>
      <w:hyperlink r:id="rId2">
        <w:r>
          <w:rPr>
            <w:rStyle w:val="Hyperlink"/>
            <w:rFonts w:cs="Times New Roman" w:ascii="Times New Roman" w:hAnsi="Times New Roman"/>
            <w:b/>
            <w:sz w:val="24"/>
            <w:szCs w:val="24"/>
            <w:lang w:val="en-US"/>
          </w:rPr>
          <w:t>www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</w:rPr>
          <w:t>.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  <w:lang w:val="en-US"/>
          </w:rPr>
          <w:t>tender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</w:rPr>
          <w:t>.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  <w:lang w:val="en-US"/>
          </w:rPr>
          <w:t>lot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</w:rPr>
          <w:t>-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  <w:lang w:val="en-US"/>
          </w:rPr>
          <w:t>online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</w:rPr>
          <w:t>.ru</w:t>
        </w:r>
      </w:hyperlink>
      <w:r>
        <w:rPr>
          <w:rFonts w:cs="Times New Roman" w:ascii="Times New Roman" w:hAnsi="Times New Roman"/>
          <w:b w:val="false"/>
          <w:bCs w:val="false"/>
          <w:kern w:val="0"/>
          <w:sz w:val="24"/>
          <w:szCs w:val="24"/>
        </w:rPr>
        <w:t xml:space="preserve">) согласно правилам работы данной системы.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 w:cs="Times New Roman"/>
          <w:b w:val="false"/>
          <w:bCs w:val="false"/>
          <w:kern w:val="0"/>
          <w:sz w:val="23"/>
          <w:szCs w:val="23"/>
        </w:rPr>
      </w:pPr>
      <w:r>
        <w:rPr>
          <w:rFonts w:cs="Times New Roman" w:ascii="Times New Roman" w:hAnsi="Times New Roman"/>
          <w:b w:val="false"/>
          <w:bCs w:val="false"/>
          <w:kern w:val="0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 w:cs="Times New Roman"/>
          <w:b w:val="false"/>
          <w:bCs w:val="false"/>
          <w:kern w:val="0"/>
          <w:sz w:val="10"/>
          <w:szCs w:val="10"/>
        </w:rPr>
      </w:pPr>
      <w:r>
        <w:rPr>
          <w:rFonts w:cs="Times New Roman" w:ascii="Times New Roman" w:hAnsi="Times New Roman"/>
          <w:b w:val="false"/>
          <w:bCs w:val="false"/>
          <w:kern w:val="0"/>
          <w:sz w:val="10"/>
          <w:szCs w:val="10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5"/>
        </w:numPr>
        <w:spacing w:before="0" w:after="0"/>
        <w:ind w:hanging="567" w:start="567" w:end="0"/>
        <w:rPr>
          <w:rFonts w:ascii="Times New Roman" w:hAnsi="Times New Roman" w:cs="Times New Roman"/>
          <w:sz w:val="23"/>
          <w:szCs w:val="23"/>
          <w:lang w:val="en-US"/>
        </w:rPr>
      </w:pPr>
      <w:r>
        <w:rPr>
          <w:rFonts w:cs="Times New Roman" w:ascii="Times New Roman" w:hAnsi="Times New Roman"/>
          <w:sz w:val="23"/>
          <w:szCs w:val="23"/>
        </w:rPr>
        <w:t>ОБЩАЯ ИНФОРМАЦИЯ О ЗАКУПКЕ: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sz w:val="24"/>
          <w:szCs w:val="24"/>
        </w:rPr>
      </w:pPr>
      <w:r>
        <w:rPr>
          <w:sz w:val="24"/>
          <w:szCs w:val="24"/>
          <w:u w:val="single"/>
        </w:rPr>
        <w:t>Предмет закупки</w:t>
      </w:r>
      <w:r>
        <w:rPr>
          <w:sz w:val="24"/>
          <w:szCs w:val="24"/>
        </w:rPr>
        <w:t xml:space="preserve">: </w:t>
      </w:r>
      <w:r>
        <w:rPr>
          <w:iCs/>
          <w:sz w:val="24"/>
          <w:szCs w:val="24"/>
        </w:rPr>
        <w:t xml:space="preserve">определение подрядчика </w:t>
      </w:r>
      <w:r>
        <w:rPr>
          <w:bCs/>
          <w:sz w:val="24"/>
          <w:szCs w:val="24"/>
        </w:rPr>
        <w:t xml:space="preserve">на выполнение </w:t>
      </w:r>
      <w:r>
        <w:rPr>
          <w:sz w:val="24"/>
          <w:szCs w:val="24"/>
        </w:rPr>
        <w:t xml:space="preserve">ПИР, СМР, ПНР, материалы по титулу: Строительство 8КЛ-0,4 кВ от ТП-10/0,4 кВ № 10943 ддо стены фасада здания в сторону нов. ВРЩ-0,4 кВ № 1, № 2, в т.ч. ПИР: г.Москва, ул.Фотиевой, д.6, стр.1 для нужд МКС </w:t>
      </w:r>
      <w:r>
        <w:rPr>
          <w:bCs/>
          <w:sz w:val="24"/>
          <w:szCs w:val="24"/>
        </w:rPr>
        <w:t>– филиала ПАО «Россети Московский регион».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rFonts w:eastAsia="Calibri"/>
          <w:sz w:val="24"/>
          <w:szCs w:val="24"/>
        </w:rPr>
      </w:pPr>
      <w:r>
        <w:rPr>
          <w:sz w:val="24"/>
          <w:szCs w:val="24"/>
          <w:u w:val="single"/>
        </w:rPr>
        <w:t>Основание для проведения закупки</w:t>
      </w:r>
      <w:r>
        <w:rPr>
          <w:sz w:val="24"/>
          <w:szCs w:val="24"/>
        </w:rPr>
        <w:t>: Распоряжение ПАО 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 от 04.03.2025 №</w:t>
      </w:r>
      <w:r>
        <w:rPr>
          <w:bCs/>
          <w:iCs/>
          <w:sz w:val="24"/>
          <w:szCs w:val="24"/>
        </w:rPr>
        <w:t>269р</w:t>
      </w:r>
      <w:r>
        <w:rPr>
          <w:sz w:val="24"/>
          <w:szCs w:val="24"/>
        </w:rPr>
        <w:t>.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180"/>
        <w:ind w:start="0" w:hanging="0" w:end="0"/>
        <w:outlineLvl w:val="1"/>
        <w:rPr>
          <w:sz w:val="24"/>
          <w:szCs w:val="24"/>
        </w:rPr>
      </w:pPr>
      <w:r>
        <w:rPr>
          <w:sz w:val="24"/>
          <w:szCs w:val="24"/>
          <w:u w:val="single"/>
        </w:rPr>
        <w:t>Ограничение участия только субъектов малого и среднего предпринимательства</w:t>
      </w:r>
      <w:r>
        <w:rPr>
          <w:sz w:val="24"/>
          <w:szCs w:val="24"/>
        </w:rPr>
        <w:t>: не установлено.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8"/>
        <w:gridCol w:w="5245"/>
      </w:tblGrid>
      <w:tr>
        <w:trPr>
          <w:trHeight w:val="62" w:hRule="atLeast"/>
        </w:trPr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WW-12"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ind w:hanging="0" w:end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Начальная цена закупки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WW-12"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ind w:hanging="0" w:end="0"/>
              <w:jc w:val="center"/>
              <w:rPr>
                <w:b/>
                <w:szCs w:val="24"/>
              </w:rPr>
            </w:pPr>
            <w:r>
              <w:rPr>
                <w:b/>
                <w:bCs/>
                <w:szCs w:val="24"/>
              </w:rPr>
              <w:t>Сроки выполнения работ</w:t>
            </w:r>
          </w:p>
        </w:tc>
      </w:tr>
      <w:tr>
        <w:trPr>
          <w:trHeight w:val="930" w:hRule="atLeast"/>
        </w:trPr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WW-12"/>
              <w:keepNext w:val="true"/>
              <w:widowControl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 w:end="0"/>
              <w:contextualSpacing/>
              <w:jc w:val="center"/>
              <w:rPr/>
            </w:pPr>
            <w:r>
              <w:rPr>
                <w:szCs w:val="24"/>
              </w:rPr>
              <w:t>28 315 177,27 руб., в т.ч. НДС 20%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5"/>
              <w:tabs>
                <w:tab w:val="clear" w:pos="709"/>
                <w:tab w:val="left" w:pos="567" w:leader="none"/>
                <w:tab w:val="left" w:pos="900" w:leader="none"/>
              </w:tabs>
              <w:ind w:hanging="0" w:start="-60" w:end="-159"/>
              <w:jc w:val="center"/>
              <w:rPr/>
            </w:pPr>
            <w:r>
              <w:rPr>
                <w:szCs w:val="28"/>
              </w:rPr>
              <w:t>С даты подписания</w:t>
            </w:r>
            <w:r>
              <w:rPr/>
              <w:t xml:space="preserve"> договора</w:t>
            </w:r>
          </w:p>
          <w:p>
            <w:pPr>
              <w:pStyle w:val="5"/>
              <w:tabs>
                <w:tab w:val="clear" w:pos="709"/>
                <w:tab w:val="left" w:pos="567" w:leader="none"/>
                <w:tab w:val="left" w:pos="900" w:leader="none"/>
              </w:tabs>
              <w:ind w:hanging="0" w:start="-60" w:end="-159"/>
              <w:jc w:val="center"/>
              <w:rPr/>
            </w:pPr>
            <w:r>
              <w:rPr/>
              <w:t>по 30 марта 2026г.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rPr/>
      </w:pPr>
      <w:r>
        <w:rPr>
          <w:rFonts w:cs="Times New Roman" w:ascii="Times New Roman" w:hAnsi="Times New Roman"/>
          <w:sz w:val="24"/>
          <w:szCs w:val="24"/>
        </w:rPr>
        <w:t>В очном заседании Комиссии принимали участие:</w:t>
      </w:r>
    </w:p>
    <w:p>
      <w:pPr>
        <w:pStyle w:val="Normal"/>
        <w:keepNext w:val="true"/>
        <w:spacing w:lineRule="auto" w:line="240"/>
        <w:ind w:hanging="0" w:end="0"/>
        <w:rPr/>
      </w:pPr>
      <w:r>
        <w:rPr>
          <w:b/>
          <w:bCs/>
          <w:sz w:val="24"/>
          <w:szCs w:val="24"/>
        </w:rPr>
        <w:t>Заместитель председателя Комиссии:</w:t>
      </w:r>
    </w:p>
    <w:p>
      <w:pPr>
        <w:pStyle w:val="Normal"/>
        <w:spacing w:lineRule="auto" w:line="240"/>
        <w:ind w:hanging="0" w:end="152"/>
        <w:rPr>
          <w:sz w:val="24"/>
          <w:szCs w:val="24"/>
        </w:rPr>
      </w:pPr>
      <w:r>
        <w:rPr>
          <w:sz w:val="24"/>
          <w:szCs w:val="24"/>
        </w:rPr>
        <w:t>Старостина Я.О. – Директор департамента организации конкурсных процедур ПАО «Россети Московский регион»;</w:t>
      </w:r>
    </w:p>
    <w:p>
      <w:pPr>
        <w:pStyle w:val="Normal"/>
        <w:spacing w:lineRule="auto" w:line="240"/>
        <w:ind w:hanging="0" w:end="152"/>
        <w:rPr>
          <w:sz w:val="24"/>
          <w:szCs w:val="24"/>
        </w:rPr>
      </w:pPr>
      <w:r>
        <w:rPr>
          <w:b/>
          <w:bCs/>
          <w:sz w:val="24"/>
          <w:szCs w:val="24"/>
        </w:rPr>
        <w:t>Члены Комиссии: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/>
      </w:pPr>
      <w:r>
        <w:rPr>
          <w:bCs/>
          <w:iCs/>
          <w:sz w:val="24"/>
          <w:szCs w:val="24"/>
        </w:rPr>
        <w:t>Богомолов Э.В. – Д</w:t>
      </w:r>
      <w:r>
        <w:rPr>
          <w:sz w:val="24"/>
          <w:szCs w:val="24"/>
        </w:rPr>
        <w:t>иректор департамента производственной безопасности ПАО «Россети Московский регион»</w:t>
      </w:r>
      <w:r>
        <w:rPr>
          <w:bCs/>
          <w:iCs/>
          <w:sz w:val="24"/>
          <w:szCs w:val="24"/>
        </w:rPr>
        <w:t>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>
          <w:bCs/>
          <w:iCs/>
          <w:sz w:val="24"/>
          <w:szCs w:val="24"/>
        </w:rPr>
      </w:pPr>
      <w:r>
        <w:rPr>
          <w:sz w:val="24"/>
          <w:szCs w:val="24"/>
        </w:rPr>
        <w:t>Попко О.О. – Заместитель директора департамента корпоративных финансов ПАО 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>
          <w:bCs/>
          <w:iCs/>
          <w:sz w:val="24"/>
          <w:szCs w:val="24"/>
        </w:rPr>
      </w:pPr>
      <w:r>
        <w:rPr>
          <w:sz w:val="24"/>
          <w:szCs w:val="24"/>
        </w:rPr>
        <w:t>Голубев Д.В. – Начальник управления мониторинга рынка ТМЦ и расчетов с поставщиками ПАО 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/>
      </w:pPr>
      <w:r>
        <w:rPr>
          <w:sz w:val="24"/>
          <w:szCs w:val="24"/>
        </w:rPr>
        <w:t xml:space="preserve">Мауль А.В. – Начальник управления </w:t>
      </w:r>
      <w:r>
        <w:rPr>
          <w:bCs/>
          <w:color w:val="000000"/>
          <w:sz w:val="24"/>
          <w:szCs w:val="24"/>
        </w:rPr>
        <w:t xml:space="preserve">нормативного регулирования и сопровождения договорной работы </w:t>
      </w:r>
      <w:r>
        <w:rPr>
          <w:sz w:val="24"/>
          <w:szCs w:val="24"/>
        </w:rPr>
        <w:t>ПАО 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Муравьев Д.П. – Начальник управления</w:t>
      </w:r>
      <w:r>
        <w:rPr>
          <w:sz w:val="24"/>
          <w:szCs w:val="24"/>
        </w:rPr>
        <w:t xml:space="preserve"> комплектации оборудованием ПАО «Россети Московский регион»;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/>
      </w:pPr>
      <w:r>
        <w:rPr>
          <w:color w:val="000000"/>
          <w:sz w:val="24"/>
          <w:szCs w:val="24"/>
        </w:rPr>
        <w:t xml:space="preserve">Светличный Д.А. – Начальник управления </w:t>
      </w:r>
      <w:r>
        <w:rPr>
          <w:bCs/>
          <w:iCs/>
          <w:sz w:val="24"/>
          <w:szCs w:val="24"/>
        </w:rPr>
        <w:t>строительного</w:t>
      </w:r>
      <w:r>
        <w:rPr>
          <w:color w:val="000000"/>
          <w:sz w:val="24"/>
          <w:szCs w:val="24"/>
        </w:rPr>
        <w:t xml:space="preserve"> надзора ПАО «</w:t>
      </w:r>
      <w:r>
        <w:rPr>
          <w:bCs/>
          <w:sz w:val="24"/>
          <w:szCs w:val="24"/>
        </w:rPr>
        <w:t>Россети Московский регион</w:t>
      </w:r>
      <w:r>
        <w:rPr>
          <w:color w:val="000000"/>
          <w:sz w:val="24"/>
          <w:szCs w:val="24"/>
        </w:rPr>
        <w:t>»;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>
          <w:bCs/>
          <w:iCs/>
          <w:sz w:val="24"/>
          <w:szCs w:val="24"/>
        </w:rPr>
      </w:pPr>
      <w:r>
        <w:rPr>
          <w:color w:val="000000"/>
          <w:sz w:val="24"/>
          <w:szCs w:val="24"/>
        </w:rPr>
        <w:t xml:space="preserve">Зубков П.С. – </w:t>
      </w:r>
      <w:r>
        <w:rPr>
          <w:sz w:val="24"/>
          <w:szCs w:val="24"/>
        </w:rPr>
        <w:t>Главный эксперт контрольно-экспертного управления ПАО 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</w:t>
      </w:r>
      <w:r>
        <w:rPr>
          <w:color w:val="000000"/>
          <w:sz w:val="24"/>
          <w:szCs w:val="24"/>
        </w:rPr>
        <w:t>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Кремнёв А.С. – Главный эксперт управления общей правовой работы ПАО «</w:t>
      </w:r>
      <w:r>
        <w:rPr>
          <w:bCs/>
          <w:sz w:val="24"/>
          <w:szCs w:val="24"/>
        </w:rPr>
        <w:t>Россети Московский регион</w:t>
      </w:r>
      <w:r>
        <w:rPr>
          <w:color w:val="000000"/>
          <w:sz w:val="24"/>
          <w:szCs w:val="24"/>
        </w:rPr>
        <w:t>»;</w:t>
      </w:r>
    </w:p>
    <w:p>
      <w:pPr>
        <w:pStyle w:val="Normal"/>
        <w:spacing w:lineRule="auto" w:line="240"/>
        <w:ind w:hanging="0" w:end="15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Секретарь Комиссии (с правом голоса): </w:t>
      </w:r>
    </w:p>
    <w:p>
      <w:pPr>
        <w:pStyle w:val="Normal"/>
        <w:widowControl w:val="false"/>
        <w:spacing w:lineRule="auto" w:line="240"/>
        <w:ind w:hanging="0" w:end="0"/>
        <w:rPr>
          <w:sz w:val="24"/>
          <w:szCs w:val="24"/>
        </w:rPr>
      </w:pPr>
      <w:r>
        <w:rPr>
          <w:sz w:val="24"/>
          <w:szCs w:val="24"/>
        </w:rPr>
        <w:t>Гусев К.В. – Начальник управления организации конкурсных закупок ПАО 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».</w:t>
      </w:r>
    </w:p>
    <w:p>
      <w:pPr>
        <w:pStyle w:val="Normal"/>
        <w:widowControl w:val="false"/>
        <w:spacing w:lineRule="auto" w:line="240"/>
        <w:ind w:hanging="0" w:end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widowControl w:val="false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СЛУШАЛИ:</w:t>
      </w:r>
    </w:p>
    <w:p>
      <w:pPr>
        <w:pStyle w:val="Normal"/>
        <w:widowControl w:val="false"/>
        <w:spacing w:lineRule="auto" w:line="240"/>
        <w:ind w:hanging="0" w:end="0"/>
        <w:rPr>
          <w:sz w:val="24"/>
          <w:szCs w:val="24"/>
        </w:rPr>
      </w:pPr>
      <w:r>
        <w:rPr>
          <w:sz w:val="24"/>
          <w:szCs w:val="24"/>
        </w:rPr>
        <w:t>Гусева К.В. – Начальника управления организации конкурсных закупок ПАО 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».</w:t>
      </w:r>
    </w:p>
    <w:p>
      <w:pPr>
        <w:pStyle w:val="Normal"/>
        <w:widowControl w:val="false"/>
        <w:spacing w:lineRule="auto" w:line="240"/>
        <w:ind w:hanging="0" w:end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Заочное голосование по опросным листам:</w:t>
      </w:r>
    </w:p>
    <w:p>
      <w:pPr>
        <w:pStyle w:val="Normal"/>
        <w:spacing w:lineRule="auto" w:line="240"/>
        <w:ind w:hanging="0" w:end="152"/>
        <w:rPr>
          <w:sz w:val="24"/>
          <w:szCs w:val="24"/>
        </w:rPr>
      </w:pPr>
      <w:r>
        <w:rPr>
          <w:b/>
          <w:bCs/>
          <w:sz w:val="24"/>
          <w:szCs w:val="24"/>
        </w:rPr>
        <w:t>Член Комиссии: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/>
      </w:pPr>
      <w:r>
        <w:rPr>
          <w:sz w:val="24"/>
          <w:szCs w:val="24"/>
        </w:rPr>
        <w:t>Омельяненко А.А. – Начальник управления материально-технического снабжения ПАО 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».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</w:r>
    </w:p>
    <w:p>
      <w:pPr>
        <w:pStyle w:val="Normal"/>
        <w:widowControl w:val="false"/>
        <w:spacing w:lineRule="auto" w:line="240"/>
        <w:ind w:hanging="0" w:end="0"/>
        <w:rPr>
          <w:b/>
          <w:bCs/>
          <w:color w:val="000000"/>
          <w:sz w:val="24"/>
          <w:szCs w:val="24"/>
        </w:rPr>
      </w:pPr>
      <w:r>
        <w:rPr>
          <w:b/>
          <w:sz w:val="24"/>
          <w:szCs w:val="24"/>
        </w:rPr>
        <w:t>В заседании приняли участие 11 из 19 членов Комиссии</w:t>
      </w:r>
      <w:r>
        <w:rPr>
          <w:b/>
          <w:bCs/>
          <w:color w:val="000000"/>
          <w:sz w:val="24"/>
          <w:szCs w:val="24"/>
        </w:rPr>
        <w:t>.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rPr>
          <w:rFonts w:ascii="Times New Roman" w:hAnsi="Times New Roman" w:cs="Times New Roman"/>
          <w:bCs w:val="false"/>
          <w:color w:val="000000"/>
          <w:kern w:val="0"/>
          <w:sz w:val="24"/>
          <w:szCs w:val="24"/>
        </w:rPr>
      </w:pPr>
      <w:r>
        <w:rPr>
          <w:rFonts w:cs="Times New Roman" w:ascii="Times New Roman" w:hAnsi="Times New Roman"/>
          <w:bCs w:val="false"/>
          <w:color w:val="000000"/>
          <w:kern w:val="0"/>
          <w:sz w:val="24"/>
          <w:szCs w:val="24"/>
        </w:rPr>
        <w:t>Кворум имеется.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rPr>
          <w:rFonts w:ascii="Times New Roman" w:hAnsi="Times New Roman" w:cs="Times New Roman"/>
          <w:bCs w:val="false"/>
          <w:color w:val="000000"/>
          <w:kern w:val="0"/>
          <w:sz w:val="12"/>
          <w:szCs w:val="12"/>
          <w:lang w:val="en-US"/>
        </w:rPr>
      </w:pPr>
      <w:r>
        <w:rPr>
          <w:rFonts w:cs="Times New Roman" w:ascii="Times New Roman" w:hAnsi="Times New Roman"/>
          <w:bCs w:val="false"/>
          <w:color w:val="000000"/>
          <w:kern w:val="0"/>
          <w:sz w:val="12"/>
          <w:szCs w:val="12"/>
          <w:lang w:val="en-US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5"/>
        </w:numPr>
        <w:spacing w:before="120" w:after="0"/>
        <w:ind w:hanging="567" w:start="567" w:end="0"/>
        <w:rPr>
          <w:rFonts w:ascii="Times New Roman" w:hAnsi="Times New Roman" w:cs="Times New Roman"/>
          <w:sz w:val="23"/>
          <w:szCs w:val="23"/>
        </w:rPr>
      </w:pPr>
      <w:bookmarkStart w:id="0" w:name="Комиссия"/>
      <w:bookmarkEnd w:id="0"/>
      <w:r>
        <w:rPr>
          <w:rFonts w:cs="Times New Roman" w:ascii="Times New Roman" w:hAnsi="Times New Roman"/>
          <w:sz w:val="23"/>
          <w:szCs w:val="23"/>
        </w:rPr>
        <w:t>ПОСТУПИВШИЕ ЗАЯВКИ: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120" w:after="180"/>
        <w:ind w:hanging="0" w:start="0"/>
        <w:rPr>
          <w:rFonts w:ascii="Times New Roman" w:hAnsi="Times New Roman" w:cs="Times New Roman"/>
          <w:b w:val="false"/>
          <w:sz w:val="24"/>
          <w:szCs w:val="24"/>
        </w:rPr>
      </w:pPr>
      <w:r>
        <w:rPr>
          <w:rFonts w:cs="Times New Roman" w:ascii="Times New Roman" w:hAnsi="Times New Roman"/>
          <w:b w:val="false"/>
          <w:sz w:val="24"/>
          <w:szCs w:val="24"/>
        </w:rPr>
        <w:t>К установленному сроку подачи заявок поступили следующие заявки:</w:t>
      </w:r>
    </w:p>
    <w:tbl>
      <w:tblPr>
        <w:tblW w:w="1008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3"/>
        <w:gridCol w:w="5103"/>
        <w:gridCol w:w="3989"/>
      </w:tblGrid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spacing w:lineRule="auto" w:line="240" w:before="0" w:after="0"/>
              <w:ind w:hanging="0" w:start="0" w:end="0"/>
              <w:contextualSpacing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b/>
                <w:sz w:val="24"/>
                <w:szCs w:val="24"/>
              </w:rPr>
              <w:t>Наименование Участника и его адрес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spacing w:lineRule="auto" w:line="240" w:before="0" w:after="0"/>
              <w:ind w:hanging="0" w:start="0" w:end="0"/>
              <w:contextualSpacing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и время подачи (мск. время)</w:t>
            </w:r>
          </w:p>
        </w:tc>
      </w:tr>
      <w:tr>
        <w:trPr>
          <w:trHeight w:val="1096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jc w:val="center"/>
              <w:rPr>
                <w:rFonts w:ascii="Times New Roman" w:hAnsi="Times New Roman" w:cs="Times New Roman"/>
                <w:b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szCs w:val="24"/>
              </w:rPr>
              <w:t>1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/>
            </w:pPr>
            <w:r>
              <w:rPr>
                <w:sz w:val="24"/>
                <w:szCs w:val="24"/>
              </w:rPr>
              <w:t>ООО «Группа Электроэнергетика» (119330, г. Москва, ул. Мосфильмовская, д.17Б, помещ. 89)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09.12.2025  14:38:26</w:t>
            </w:r>
          </w:p>
        </w:tc>
      </w:tr>
      <w:tr>
        <w:trPr>
          <w:trHeight w:val="980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jc w:val="center"/>
              <w:rPr>
                <w:rFonts w:ascii="Times New Roman" w:hAnsi="Times New Roman" w:cs="Times New Roman"/>
                <w:b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szCs w:val="24"/>
              </w:rPr>
              <w:t>2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/>
            </w:pPr>
            <w:r>
              <w:rPr>
                <w:sz w:val="24"/>
                <w:szCs w:val="24"/>
              </w:rPr>
              <w:t>ООО «М-ЭНЕРГО» (115280, г. Москва, ул. Ленинская Слобода, д. 19, к.1)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10.12.2025  10:15:20</w:t>
            </w:r>
          </w:p>
        </w:tc>
      </w:tr>
      <w:tr>
        <w:trPr/>
        <w:tc>
          <w:tcPr>
            <w:tcW w:w="100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Всего поступило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2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заявки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120" w:after="0"/>
        <w:ind w:hanging="0" w:start="0"/>
        <w:rPr>
          <w:rFonts w:ascii="Times New Roman" w:hAnsi="Times New Roman" w:cs="Times New Roman"/>
          <w:sz w:val="6"/>
          <w:szCs w:val="6"/>
        </w:rPr>
      </w:pPr>
      <w:r>
        <w:rPr>
          <w:rFonts w:cs="Times New Roman" w:ascii="Times New Roman" w:hAnsi="Times New Roman"/>
          <w:sz w:val="6"/>
          <w:szCs w:val="6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5"/>
        </w:numPr>
        <w:spacing w:before="120" w:after="0"/>
        <w:ind w:hanging="567" w:start="567" w:end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>ВОПРОСЫ КОМИССИИ:</w:t>
      </w:r>
    </w:p>
    <w:p>
      <w:pPr>
        <w:pStyle w:val="12"/>
        <w:keepNext w:val="false"/>
        <w:keepLines w:val="false"/>
        <w:widowControl w:val="false"/>
        <w:numPr>
          <w:ilvl w:val="0"/>
          <w:numId w:val="2"/>
        </w:numPr>
        <w:tabs>
          <w:tab w:val="clear" w:pos="709"/>
          <w:tab w:val="left" w:pos="284" w:leader="none"/>
        </w:tabs>
        <w:spacing w:before="0" w:after="0"/>
        <w:ind w:hanging="0" w:start="0" w:end="0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 рассмотрении индивидуальных экспертных заключений</w:t>
      </w:r>
    </w:p>
    <w:p>
      <w:pPr>
        <w:pStyle w:val="12"/>
        <w:keepNext w:val="false"/>
        <w:keepLines w:val="false"/>
        <w:widowControl w:val="false"/>
        <w:numPr>
          <w:ilvl w:val="0"/>
          <w:numId w:val="2"/>
        </w:numPr>
        <w:tabs>
          <w:tab w:val="clear" w:pos="709"/>
          <w:tab w:val="left" w:pos="284" w:leader="none"/>
        </w:tabs>
        <w:spacing w:before="0" w:after="0"/>
        <w:ind w:hanging="0" w:start="0" w:end="0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 рассмотрении заявок Участников</w:t>
      </w:r>
    </w:p>
    <w:p>
      <w:pPr>
        <w:pStyle w:val="12"/>
        <w:keepNext w:val="false"/>
        <w:keepLines w:val="false"/>
        <w:widowControl w:val="false"/>
        <w:numPr>
          <w:ilvl w:val="0"/>
          <w:numId w:val="2"/>
        </w:numPr>
        <w:tabs>
          <w:tab w:val="clear" w:pos="709"/>
          <w:tab w:val="left" w:pos="284" w:leader="none"/>
        </w:tabs>
        <w:spacing w:before="0" w:after="0"/>
        <w:ind w:hanging="0" w:start="0" w:end="0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 ранжировании заявок Участников</w:t>
      </w:r>
    </w:p>
    <w:p>
      <w:pPr>
        <w:pStyle w:val="12"/>
        <w:keepNext w:val="false"/>
        <w:keepLines w:val="false"/>
        <w:widowControl w:val="false"/>
        <w:numPr>
          <w:ilvl w:val="0"/>
          <w:numId w:val="2"/>
        </w:numPr>
        <w:tabs>
          <w:tab w:val="clear" w:pos="709"/>
          <w:tab w:val="left" w:pos="284" w:leader="none"/>
        </w:tabs>
        <w:spacing w:before="0" w:after="0"/>
        <w:ind w:hanging="0" w:start="0" w:end="0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 подведении итогов по закупке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284" w:leader="none"/>
        </w:tabs>
        <w:spacing w:before="120" w:after="0"/>
        <w:ind w:hanging="0" w:start="0"/>
        <w:outlineLvl w:val="2"/>
        <w:rPr>
          <w:rFonts w:ascii="Times New Roman" w:hAnsi="Times New Roman" w:cs="Times New Roman"/>
          <w:sz w:val="6"/>
          <w:szCs w:val="6"/>
        </w:rPr>
      </w:pPr>
      <w:r>
        <w:rPr>
          <w:rFonts w:cs="Times New Roman" w:ascii="Times New Roman" w:hAnsi="Times New Roman"/>
          <w:sz w:val="6"/>
          <w:szCs w:val="6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5"/>
        </w:numPr>
        <w:spacing w:before="120" w:after="0"/>
        <w:ind w:hanging="567" w:start="567" w:end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>РЕШИЛИ:</w:t>
      </w:r>
    </w:p>
    <w:p>
      <w:pPr>
        <w:pStyle w:val="Style26"/>
        <w:widowControl w:val="false"/>
        <w:numPr>
          <w:ilvl w:val="0"/>
          <w:numId w:val="3"/>
        </w:numPr>
        <w:tabs>
          <w:tab w:val="clear" w:pos="709"/>
          <w:tab w:val="left" w:pos="567" w:leader="none"/>
        </w:tabs>
        <w:spacing w:lineRule="auto" w:line="240" w:before="0" w:after="0"/>
        <w:ind w:hanging="0" w:start="0" w:end="2"/>
        <w:contextualSpacing w:val="false"/>
        <w:rPr>
          <w:sz w:val="24"/>
          <w:szCs w:val="24"/>
        </w:rPr>
      </w:pPr>
      <w:r>
        <w:rPr>
          <w:sz w:val="24"/>
          <w:szCs w:val="24"/>
        </w:rPr>
        <w:t>Рассмотреть индивидуальные экспертные заключения.</w:t>
      </w:r>
    </w:p>
    <w:p>
      <w:pPr>
        <w:pStyle w:val="Style26"/>
        <w:widowControl w:val="false"/>
        <w:numPr>
          <w:ilvl w:val="0"/>
          <w:numId w:val="3"/>
        </w:numPr>
        <w:tabs>
          <w:tab w:val="clear" w:pos="709"/>
          <w:tab w:val="left" w:pos="567" w:leader="none"/>
        </w:tabs>
        <w:spacing w:lineRule="auto" w:line="240" w:before="0" w:after="0"/>
        <w:ind w:hanging="0" w:start="0" w:end="2"/>
        <w:contextualSpacing w:val="false"/>
        <w:rPr>
          <w:sz w:val="24"/>
          <w:szCs w:val="24"/>
        </w:rPr>
      </w:pPr>
      <w:r>
        <w:rPr>
          <w:sz w:val="24"/>
          <w:szCs w:val="24"/>
        </w:rPr>
        <w:t>По итогам рассмотрения поступивших на закупку заявок, индивидуальных экспертных заключений признать заявки Участников ООО «Группа Электроэнергетика» (119330, г. Москва, ул. Мосфильмовская, д.17Б, помещ. 89), ООО «М-ЭНЕРГО» (115280, г. Москва, ул. Ленинская Слобода, д. 19, к.1) соответствующими требованиям Извещения о проведении закупки и допустить к дальнейшему рассмотрению.</w:t>
      </w:r>
    </w:p>
    <w:p>
      <w:pPr>
        <w:pStyle w:val="Style26"/>
        <w:widowControl w:val="false"/>
        <w:tabs>
          <w:tab w:val="clear" w:pos="709"/>
          <w:tab w:val="left" w:pos="0" w:leader="none"/>
          <w:tab w:val="left" w:pos="284" w:leader="none"/>
        </w:tabs>
        <w:spacing w:lineRule="auto" w:line="240" w:before="120" w:after="0"/>
        <w:ind w:hanging="0" w:start="0" w:end="0"/>
        <w:contextualSpacing w:val="false"/>
        <w:rPr>
          <w:b/>
          <w:sz w:val="24"/>
          <w:szCs w:val="24"/>
        </w:rPr>
      </w:pPr>
      <w:r>
        <w:rPr>
          <w:b/>
          <w:sz w:val="24"/>
          <w:szCs w:val="24"/>
        </w:rPr>
        <w:t>По итогам рассмотрения всего допущено – 2 заявки</w:t>
      </w:r>
    </w:p>
    <w:p>
      <w:pPr>
        <w:pStyle w:val="Style26"/>
        <w:widowControl w:val="false"/>
        <w:tabs>
          <w:tab w:val="clear" w:pos="709"/>
          <w:tab w:val="left" w:pos="0" w:leader="none"/>
          <w:tab w:val="left" w:pos="284" w:leader="none"/>
        </w:tabs>
        <w:spacing w:lineRule="auto" w:line="240" w:before="0" w:after="0"/>
        <w:ind w:hanging="0" w:start="0" w:end="0"/>
        <w:contextualSpacing w:val="false"/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t xml:space="preserve">По итогам рассмотрения всего отклонено - 0 заявок. </w:t>
      </w:r>
    </w:p>
    <w:p>
      <w:pPr>
        <w:pStyle w:val="Style26"/>
        <w:widowControl w:val="false"/>
        <w:tabs>
          <w:tab w:val="clear" w:pos="709"/>
          <w:tab w:val="left" w:pos="0" w:leader="none"/>
          <w:tab w:val="left" w:pos="284" w:leader="none"/>
        </w:tabs>
        <w:spacing w:lineRule="auto" w:line="240" w:before="0" w:after="0"/>
        <w:ind w:hanging="0" w:start="0" w:end="0"/>
        <w:contextualSpacing w:val="false"/>
        <w:rPr>
          <w:b/>
          <w:sz w:val="18"/>
          <w:szCs w:val="18"/>
        </w:rPr>
      </w:pPr>
      <w:r>
        <w:rPr>
          <w:b/>
          <w:sz w:val="24"/>
          <w:szCs w:val="24"/>
        </w:rPr>
        <w:t xml:space="preserve"> </w:t>
      </w:r>
    </w:p>
    <w:p>
      <w:pPr>
        <w:pStyle w:val="Style26"/>
        <w:widowControl w:val="false"/>
        <w:numPr>
          <w:ilvl w:val="0"/>
          <w:numId w:val="3"/>
        </w:numPr>
        <w:tabs>
          <w:tab w:val="clear" w:pos="709"/>
          <w:tab w:val="left" w:pos="567" w:leader="none"/>
        </w:tabs>
        <w:spacing w:lineRule="auto" w:line="240" w:before="0" w:after="0"/>
        <w:ind w:hanging="0" w:start="0" w:end="2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Ранжировать допущенные заявки Участников </w:t>
      </w:r>
      <w:r>
        <w:rPr/>
        <w:t>следующим образом:</w:t>
      </w:r>
    </w:p>
    <w:tbl>
      <w:tblPr>
        <w:tblW w:w="49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2"/>
        <w:gridCol w:w="3718"/>
        <w:gridCol w:w="2204"/>
        <w:gridCol w:w="2753"/>
      </w:tblGrid>
      <w:tr>
        <w:trPr>
          <w:tblHeader w:val="true"/>
          <w:trHeight w:val="847" w:hRule="atLeast"/>
        </w:trPr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Место в ранжире</w:t>
            </w:r>
          </w:p>
        </w:tc>
        <w:tc>
          <w:tcPr>
            <w:tcW w:w="3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Наименование Участника </w:t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и его адрес</w:t>
            </w:r>
          </w:p>
        </w:tc>
        <w:tc>
          <w:tcPr>
            <w:tcW w:w="2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/>
            </w:pPr>
            <w:r>
              <w:rPr>
                <w:b/>
                <w:sz w:val="22"/>
                <w:szCs w:val="22"/>
              </w:rPr>
              <w:t>Стоимость заявки,</w:t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руб. с НДС 20%</w:t>
            </w:r>
          </w:p>
        </w:tc>
        <w:tc>
          <w:tcPr>
            <w:tcW w:w="2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Сроки выполнения работ</w:t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Условия оплаты</w:t>
            </w:r>
          </w:p>
        </w:tc>
      </w:tr>
      <w:tr>
        <w:trPr>
          <w:trHeight w:val="1118" w:hRule="atLeast"/>
        </w:trPr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«Группа Электроэнергетика» (119330, г. Москва, ул. Мосфильмовская, д.17Б, помещ. 89)</w:t>
            </w:r>
          </w:p>
        </w:tc>
        <w:tc>
          <w:tcPr>
            <w:tcW w:w="2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vanish/>
                <w:sz w:val="22"/>
                <w:szCs w:val="22"/>
              </w:rPr>
            </w:pPr>
            <w:r>
              <w:rPr>
                <w:sz w:val="22"/>
                <w:szCs w:val="22"/>
              </w:rPr>
              <w:t>28 286 862,09</w:t>
            </w:r>
          </w:p>
        </w:tc>
        <w:tc>
          <w:tcPr>
            <w:tcW w:w="2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соответствии с требованиями ТЗ на проведение закупки</w:t>
            </w:r>
          </w:p>
        </w:tc>
      </w:tr>
      <w:tr>
        <w:trPr>
          <w:trHeight w:val="1103" w:hRule="atLeast"/>
        </w:trPr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«М-ЭНЕРГО» (115280, г. Москва, ул. Ленинская Слобода, д. 19, к.1)</w:t>
            </w:r>
          </w:p>
        </w:tc>
        <w:tc>
          <w:tcPr>
            <w:tcW w:w="2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vanish/>
                <w:sz w:val="22"/>
                <w:szCs w:val="22"/>
              </w:rPr>
            </w:pPr>
            <w:r>
              <w:rPr>
                <w:sz w:val="22"/>
                <w:szCs w:val="22"/>
              </w:rPr>
              <w:t>28 315 177,27</w:t>
            </w:r>
          </w:p>
        </w:tc>
        <w:tc>
          <w:tcPr>
            <w:tcW w:w="2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соответствии с требованиями ТЗ на проведение закупки</w:t>
            </w:r>
          </w:p>
        </w:tc>
      </w:tr>
    </w:tbl>
    <w:p>
      <w:pPr>
        <w:pStyle w:val="Style27"/>
        <w:widowControl w:val="false"/>
        <w:tabs>
          <w:tab w:val="clear" w:pos="1701"/>
          <w:tab w:val="left" w:pos="993" w:leader="none"/>
        </w:tabs>
        <w:spacing w:lineRule="auto" w:line="240"/>
        <w:ind w:hanging="0" w:start="567" w:end="0"/>
        <w:jc w:val="start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Наивысшее место получает </w:t>
      </w:r>
      <w:r>
        <w:rPr>
          <w:sz w:val="24"/>
          <w:szCs w:val="24"/>
          <w:lang w:val="ru-RU"/>
        </w:rPr>
        <w:t>з</w:t>
      </w:r>
      <w:r>
        <w:rPr>
          <w:sz w:val="24"/>
          <w:szCs w:val="24"/>
        </w:rPr>
        <w:t>аявка, имеющая наименьшую цену.</w:t>
      </w:r>
    </w:p>
    <w:p>
      <w:pPr>
        <w:pStyle w:val="Style26"/>
        <w:widowControl w:val="false"/>
        <w:numPr>
          <w:ilvl w:val="1"/>
          <w:numId w:val="2"/>
        </w:numPr>
        <w:tabs>
          <w:tab w:val="clear" w:pos="709"/>
          <w:tab w:val="left" w:pos="567" w:leader="none"/>
        </w:tabs>
        <w:spacing w:lineRule="auto" w:line="240" w:before="0" w:after="0"/>
        <w:ind w:hanging="0" w:start="0" w:end="0"/>
        <w:contextualSpacing w:val="false"/>
        <w:rPr>
          <w:sz w:val="24"/>
          <w:szCs w:val="24"/>
        </w:rPr>
      </w:pPr>
      <w:r>
        <w:rPr>
          <w:sz w:val="24"/>
          <w:szCs w:val="24"/>
        </w:rPr>
        <w:t>Признать Победителем закупки ООО «Группа Электроэнергетика» (119330, г. Москва, ул. Мосфильмовская, д.17Б, помещ. 89) на следующих условиях:</w:t>
      </w:r>
      <w:bookmarkStart w:id="1" w:name="СписокУчастников"/>
      <w:bookmarkEnd w:id="1"/>
    </w:p>
    <w:tbl>
      <w:tblPr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27"/>
        <w:gridCol w:w="3118"/>
        <w:gridCol w:w="4820"/>
      </w:tblGrid>
      <w:tr>
        <w:trPr>
          <w:tblHeader w:val="true"/>
          <w:trHeight w:val="590" w:hRule="atLeast"/>
        </w:trPr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Стоимость заявки, руб. с НДС 20%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Срок выполнения работ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Условия оплаты</w:t>
            </w:r>
          </w:p>
        </w:tc>
      </w:tr>
      <w:tr>
        <w:trPr>
          <w:trHeight w:val="822" w:hRule="atLeast"/>
        </w:trPr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28 286 862,09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 даты подписания договора по 30 марта 2026г.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>В течение 30 рабочих дней после подписания Акта приемки выполненных работ и(или) форм КС-2 и КС-3</w:t>
            </w:r>
          </w:p>
        </w:tc>
      </w:tr>
    </w:tbl>
    <w:p>
      <w:pPr>
        <w:pStyle w:val="Style26"/>
        <w:widowControl w:val="false"/>
        <w:numPr>
          <w:ilvl w:val="1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contextualSpacing w:val="false"/>
        <w:rPr>
          <w:sz w:val="24"/>
          <w:szCs w:val="24"/>
        </w:rPr>
      </w:pPr>
      <w:r>
        <w:rPr>
          <w:sz w:val="24"/>
          <w:szCs w:val="24"/>
        </w:rPr>
        <w:t>МКС - филиалу ПАО 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 xml:space="preserve">» заключить договор с ООО «Группа Электроэнергетика» (119330, г. Москва, ул. Мосфильмовская, д.17Б, помещ. 89), являющимся субъектом малого предпринимательства, на </w:t>
      </w:r>
      <w:r>
        <w:rPr>
          <w:bCs/>
          <w:sz w:val="24"/>
          <w:szCs w:val="24"/>
        </w:rPr>
        <w:t>выполнение</w:t>
      </w:r>
      <w:r>
        <w:rPr>
          <w:sz w:val="24"/>
          <w:szCs w:val="24"/>
        </w:rPr>
        <w:t xml:space="preserve"> ПИР, СМР, ПНР, материалы по титулу: Строительство 8КЛ-0,4 кВ от ТП-10/0,4 кВ № 10943 ддо стены фасада здания в сторону нов. ВРЩ-0,4 кВ № 1, № 2, в т.ч. ПИР: г.Москва, ул.Фотиевой, д.6, стр.1 для нужд МКС </w:t>
      </w:r>
      <w:r>
        <w:rPr>
          <w:bCs/>
          <w:sz w:val="24"/>
          <w:szCs w:val="24"/>
        </w:rPr>
        <w:t>– филиала ПАО «Россети Московский регион»</w:t>
      </w:r>
      <w:r>
        <w:rPr/>
        <w:t xml:space="preserve"> на следующих условиях:</w:t>
      </w:r>
    </w:p>
    <w:tbl>
      <w:tblPr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1"/>
        <w:gridCol w:w="2410"/>
        <w:gridCol w:w="2552"/>
        <w:gridCol w:w="3402"/>
      </w:tblGrid>
      <w:tr>
        <w:trPr>
          <w:tblHeader w:val="true"/>
          <w:trHeight w:val="652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Стоимость договора, руб. с НДС 20%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Объем работ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Срок выполнения работ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Условия оплаты</w:t>
            </w:r>
          </w:p>
        </w:tc>
      </w:tr>
      <w:tr>
        <w:trPr>
          <w:trHeight w:val="1088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28 286 862,09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5"/>
              <w:tabs>
                <w:tab w:val="clear" w:pos="709"/>
                <w:tab w:val="left" w:pos="567" w:leader="none"/>
                <w:tab w:val="left" w:pos="900" w:leader="none"/>
              </w:tabs>
              <w:ind w:hanging="0" w:end="-159"/>
              <w:jc w:val="center"/>
              <w:rPr/>
            </w:pPr>
            <w:r>
              <w:rPr>
                <w:sz w:val="22"/>
                <w:szCs w:val="22"/>
              </w:rPr>
              <w:t>В соответствии с ТЗ (приложение 4 к Извещению о закупке)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5"/>
              <w:tabs>
                <w:tab w:val="clear" w:pos="709"/>
                <w:tab w:val="left" w:pos="567" w:leader="none"/>
                <w:tab w:val="left" w:pos="900" w:leader="none"/>
              </w:tabs>
              <w:ind w:hanging="0" w:start="-60" w:end="-159"/>
              <w:jc w:val="center"/>
              <w:rPr/>
            </w:pPr>
            <w:r>
              <w:rPr>
                <w:sz w:val="22"/>
                <w:szCs w:val="22"/>
              </w:rPr>
              <w:t xml:space="preserve">С даты подписания </w:t>
            </w:r>
          </w:p>
          <w:p>
            <w:pPr>
              <w:pStyle w:val="5"/>
              <w:tabs>
                <w:tab w:val="clear" w:pos="709"/>
                <w:tab w:val="left" w:pos="567" w:leader="none"/>
                <w:tab w:val="left" w:pos="900" w:leader="none"/>
              </w:tabs>
              <w:ind w:hanging="0" w:start="-60" w:end="-15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договора по 30 марта 2026г.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>В течение 7 рабочих дней после подписания Акта приемки выполненных работ и(или) форм КС-2 и КС-3*</w:t>
            </w:r>
          </w:p>
        </w:tc>
      </w:tr>
    </w:tbl>
    <w:p>
      <w:pPr>
        <w:pStyle w:val="Style26"/>
        <w:widowControl w:val="false"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contextualSpacing w:val="false"/>
        <w:rPr>
          <w:b/>
          <w:sz w:val="12"/>
          <w:szCs w:val="12"/>
        </w:rPr>
      </w:pPr>
      <w:r>
        <w:rPr>
          <w:b/>
          <w:sz w:val="12"/>
          <w:szCs w:val="12"/>
        </w:rPr>
      </w:r>
    </w:p>
    <w:p>
      <w:pPr>
        <w:pStyle w:val="Style26"/>
        <w:widowControl w:val="false"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contextualSpacing w:val="false"/>
        <w:rPr>
          <w:b/>
          <w:sz w:val="24"/>
          <w:szCs w:val="24"/>
        </w:rPr>
      </w:pPr>
      <w:r>
        <w:rPr>
          <w:b/>
          <w:sz w:val="24"/>
          <w:szCs w:val="24"/>
        </w:rPr>
        <w:t>Код случая заключения договора по ПП РФ от 27.05.2021 № 814 – 210</w:t>
      </w:r>
    </w:p>
    <w:p>
      <w:pPr>
        <w:pStyle w:val="Style26"/>
        <w:widowControl w:val="false"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contextualSpacing w:val="false"/>
        <w:rPr>
          <w:b/>
          <w:sz w:val="12"/>
          <w:szCs w:val="12"/>
        </w:rPr>
      </w:pPr>
      <w:r>
        <w:rPr>
          <w:b/>
          <w:sz w:val="12"/>
          <w:szCs w:val="12"/>
        </w:rPr>
      </w:r>
    </w:p>
    <w:p>
      <w:pPr>
        <w:pStyle w:val="Style26"/>
        <w:widowControl w:val="false"/>
        <w:numPr>
          <w:ilvl w:val="1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contextualSpacing w:val="false"/>
        <w:rPr>
          <w:sz w:val="24"/>
          <w:szCs w:val="24"/>
        </w:rPr>
      </w:pPr>
      <w:r>
        <w:rPr>
          <w:sz w:val="24"/>
          <w:szCs w:val="24"/>
        </w:rPr>
        <w:t>В случае необходимости предварительного одобрения Советом директоров ПАО 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 договора как сделки, в совершении которой имеется заинтересованность, куратору договора обеспечить вынесение на рассмотрение Совета директоров вопроса об одобрении договора до его заключения.</w:t>
      </w:r>
    </w:p>
    <w:p>
      <w:pPr>
        <w:pStyle w:val="Style26"/>
        <w:widowControl w:val="false"/>
        <w:numPr>
          <w:ilvl w:val="1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Договор заключается в сроки, не противоречащие нормам действующего законодательства, при этом максимальный срок заключения договора не может составлять более 20 (двадцати) рабочих дней </w:t>
      </w:r>
      <w:r>
        <w:rPr>
          <w:bCs/>
          <w:sz w:val="24"/>
          <w:szCs w:val="24"/>
        </w:rPr>
        <w:t>с даты размещения в ЕИС итогового протокола, составленного по результатам закупки</w:t>
      </w:r>
      <w:r>
        <w:rPr>
          <w:sz w:val="24"/>
          <w:szCs w:val="24"/>
        </w:rPr>
        <w:t>. 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Заказчика, Закупочной комиссии, оператора электронной площадки договор должен быть заключен в срок не позднее 20 (двадцати) рабочих дней с момента принятия соответствующего решения (одобрения, вынесения решения по жалобе, иску).</w:t>
      </w:r>
    </w:p>
    <w:p>
      <w:pPr>
        <w:pStyle w:val="21"/>
        <w:keepNext w:val="true"/>
        <w:spacing w:before="0" w:after="0"/>
        <w:ind w:start="0" w:end="-153"/>
        <w:contextualSpacing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5"/>
        </w:numPr>
        <w:spacing w:before="120" w:after="0"/>
        <w:ind w:hanging="567" w:start="567" w:end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>РЕЗУЛЬТАТЫ ГОЛОСОВАНИЯ (в соответствии с опросными листами):</w:t>
      </w:r>
    </w:p>
    <w:p>
      <w:pPr>
        <w:pStyle w:val="Normal"/>
        <w:widowControl w:val="false"/>
        <w:suppressAutoHyphens w:val="true"/>
        <w:spacing w:lineRule="auto" w:line="240" w:before="120" w:after="0"/>
        <w:ind w:hanging="0" w:end="0"/>
        <w:rPr>
          <w:sz w:val="24"/>
          <w:szCs w:val="24"/>
        </w:rPr>
      </w:pPr>
      <w:r>
        <w:rPr>
          <w:sz w:val="24"/>
          <w:szCs w:val="24"/>
        </w:rPr>
        <w:t>«За» - 11 (одиннадцать)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 w:end="0"/>
        <w:rPr/>
      </w:pPr>
      <w:r>
        <w:rPr>
          <w:sz w:val="24"/>
          <w:szCs w:val="24"/>
        </w:rPr>
        <w:t>«Против»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 w:end="0"/>
        <w:rPr/>
      </w:pPr>
      <w:r>
        <w:rPr>
          <w:sz w:val="24"/>
          <w:szCs w:val="24"/>
        </w:rPr>
        <w:t>«Воздержалось»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Решение принято единогласно.</w:t>
      </w:r>
    </w:p>
    <w:p>
      <w:pPr>
        <w:pStyle w:val="Normal"/>
        <w:widowControl w:val="false"/>
        <w:suppressAutoHyphens w:val="true"/>
        <w:spacing w:lineRule="auto" w:line="276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5"/>
        </w:numPr>
        <w:spacing w:before="0" w:after="0"/>
        <w:ind w:hanging="567" w:start="567" w:end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>ПОДПИСИ:</w:t>
      </w:r>
    </w:p>
    <w:tbl>
      <w:tblPr>
        <w:tblpPr w:vertAnchor="text" w:horzAnchor="margin" w:leftFromText="180" w:rightFromText="180" w:tblpX="113" w:tblpY="278"/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51"/>
        <w:gridCol w:w="1985"/>
        <w:gridCol w:w="1984"/>
        <w:gridCol w:w="4145"/>
      </w:tblGrid>
      <w:tr>
        <w:trPr>
          <w:trHeight w:val="982" w:hRule="atLeast"/>
        </w:trPr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start"/>
              <w:rPr/>
            </w:pPr>
            <w:r>
              <w:rPr>
                <w:sz w:val="24"/>
                <w:szCs w:val="24"/>
              </w:rPr>
              <w:t>Заместитель Председателя</w:t>
            </w:r>
            <w:r>
              <w:rPr>
                <w:bCs/>
                <w:sz w:val="24"/>
                <w:szCs w:val="24"/>
              </w:rPr>
              <w:t xml:space="preserve"> К</w:t>
            </w:r>
            <w:r>
              <w:rPr>
                <w:sz w:val="24"/>
                <w:szCs w:val="24"/>
              </w:rPr>
              <w:t>омиссии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Старостина Я.О.</w:t>
            </w:r>
          </w:p>
        </w:tc>
        <w:tc>
          <w:tcPr>
            <w:tcW w:w="4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Директор департамента организации конкурсных процедур </w:t>
            </w:r>
            <w:r>
              <w:rPr>
                <w:bCs/>
                <w:sz w:val="24"/>
                <w:szCs w:val="24"/>
              </w:rPr>
              <w:t>ПАО «Россети Московский регион»</w:t>
            </w:r>
          </w:p>
        </w:tc>
      </w:tr>
      <w:tr>
        <w:trPr>
          <w:trHeight w:val="981" w:hRule="atLeast"/>
        </w:trPr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Секретарь Комиссии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4"/>
                <w:szCs w:val="24"/>
              </w:rPr>
              <w:t>Гусев К.В.</w:t>
            </w:r>
          </w:p>
        </w:tc>
        <w:tc>
          <w:tcPr>
            <w:tcW w:w="4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Начальник управления организации конкурсных закупок ПАО «Россети Московский регион»</w:t>
            </w:r>
          </w:p>
        </w:tc>
      </w:tr>
    </w:tbl>
    <w:p>
      <w:pPr>
        <w:pStyle w:val="Normal"/>
        <w:widowControl w:val="false"/>
        <w:spacing w:lineRule="auto" w:line="240"/>
        <w:ind w:hanging="0" w:end="0"/>
        <w:rPr>
          <w:i/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Огородникова Е.А.   </w:t>
      </w:r>
      <w:r>
        <w:rPr>
          <w:i/>
          <w:sz w:val="22"/>
          <w:szCs w:val="22"/>
        </w:rPr>
        <w:t>+7 (495) 662-40-70  (вн. 47-73)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567" w:start="567" w:end="0"/>
        <w:jc w:val="start"/>
        <w:rPr>
          <w:rFonts w:ascii="Times New Roman" w:hAnsi="Times New Roman" w:cs="Times New Roman"/>
          <w:b w:val="false"/>
          <w:sz w:val="20"/>
        </w:rPr>
      </w:pPr>
      <w:r>
        <w:rPr>
          <w:rFonts w:cs="Times New Roman" w:ascii="Times New Roman" w:hAnsi="Times New Roman"/>
          <w:b w:val="false"/>
          <w:sz w:val="20"/>
        </w:rPr>
        <w:t>__________________________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567" w:start="567" w:end="0"/>
        <w:jc w:val="start"/>
        <w:rPr>
          <w:rFonts w:ascii="Times New Roman" w:hAnsi="Times New Roman" w:cs="Times New Roman"/>
          <w:b w:val="false"/>
          <w:sz w:val="20"/>
        </w:rPr>
      </w:pPr>
      <w:r>
        <w:rPr>
          <w:rFonts w:cs="Times New Roman" w:ascii="Times New Roman" w:hAnsi="Times New Roman"/>
          <w:b w:val="false"/>
          <w:sz w:val="20"/>
        </w:rPr>
        <w:t>* Постановление Правительства РФ от 11 декабря 2014 г. N 1352 п.14.3.</w:t>
      </w:r>
    </w:p>
    <w:sectPr>
      <w:footerReference w:type="default" r:id="rId3"/>
      <w:type w:val="nextPage"/>
      <w:pgSz w:w="11906" w:h="16838"/>
      <w:pgMar w:left="1080" w:right="849" w:gutter="0" w:header="0" w:top="426" w:footer="321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Arial Unicode MS">
    <w:charset w:val="8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 w:cs="Times New Roman"/>
        <w:sz w:val="16"/>
        <w:szCs w:val="16"/>
      </w:rPr>
    </w:pPr>
    <w:r>
      <w:rPr>
        <w:rFonts w:cs="Times New Roman" w:ascii="Times New Roman" w:hAnsi="Times New Roman"/>
        <w:sz w:val="16"/>
        <w:szCs w:val="16"/>
      </w:rPr>
      <w:t>Протокол №РМР/5661</w:t>
    </w:r>
    <w:r>
      <mc:AlternateContent>
        <mc:Choice Requires="wps">
          <w:drawing>
            <wp:anchor behindDoc="0" distT="0" distB="0" distL="0" distR="0" simplePos="0" locked="0" layoutInCell="0" allowOverlap="1" relativeHeight="5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3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3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 w:cs="Times New Roman"/>
        <w:sz w:val="16"/>
        <w:szCs w:val="16"/>
      </w:rPr>
    </w:pPr>
    <w:r>
      <w:rPr>
        <w:rFonts w:cs="Times New Roman" w:ascii="Times New Roman" w:hAnsi="Times New Roman"/>
        <w:sz w:val="16"/>
        <w:szCs w:val="16"/>
      </w:rPr>
      <w:t>очно-заочного заседания Постоянно действующей конкурсной комиссии (далее - Комиссия) по рассмотрению, ранжированию заявок Участников и подведению итогов закупки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/>
    </w:pPr>
    <w:r>
      <w:rPr>
        <w:rFonts w:cs="Times New Roman" w:ascii="Times New Roman" w:hAnsi="Times New Roman"/>
        <w:sz w:val="16"/>
        <w:szCs w:val="16"/>
      </w:rPr>
      <w:t xml:space="preserve"> </w:t>
    </w:r>
    <w:r>
      <w:rPr>
        <w:rFonts w:cs="Times New Roman" w:ascii="Times New Roman" w:hAnsi="Times New Roman"/>
        <w:sz w:val="16"/>
        <w:szCs w:val="16"/>
      </w:rPr>
      <w:t xml:space="preserve">(ЕИС № </w:t>
    </w:r>
    <w:r>
      <w:rPr>
        <w:rFonts w:cs="Times New Roman" w:ascii="Times New Roman" w:hAnsi="Times New Roman"/>
        <w:kern w:val="2"/>
        <w:sz w:val="16"/>
        <w:szCs w:val="16"/>
      </w:rPr>
      <w:t>32515481728</w:t>
    </w:r>
    <w:r>
      <w:rPr>
        <w:rFonts w:cs="Times New Roman" w:ascii="Times New Roman" w:hAnsi="Times New Roman"/>
        <w:sz w:val="16"/>
        <w:szCs w:val="16"/>
      </w:rPr>
      <w:t>)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pStyle w:val="Heading4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644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142" w:hanging="432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5">
    <w:lvl w:ilvl="0">
      <w:start w:val="1"/>
      <w:numFmt w:val="upperRoman"/>
      <w:lvlText w:val="%1."/>
      <w:lvlJc w:val="start"/>
      <w:pPr>
        <w:tabs>
          <w:tab w:val="num" w:pos="0"/>
        </w:tabs>
        <w:ind w:start="862" w:hanging="72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tabs>
        <w:tab w:val="clear" w:pos="709"/>
        <w:tab w:val="left" w:pos="1134" w:leader="none"/>
      </w:tabs>
      <w:suppressAutoHyphens w:val="true"/>
      <w:spacing w:lineRule="auto" w:line="240" w:before="360" w:after="120"/>
      <w:ind w:hanging="1134" w:start="1134" w:end="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b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7z1">
    <w:name w:val="WW8Num7z1"/>
    <w:qFormat/>
    <w:rPr>
      <w:b/>
    </w:rPr>
  </w:style>
  <w:style w:type="character" w:styleId="WW8Num7z2">
    <w:name w:val="WW8Num7z2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sz w:val="24"/>
    </w:rPr>
  </w:style>
  <w:style w:type="character" w:styleId="WW8Num11z0">
    <w:name w:val="WW8Num11z0"/>
    <w:qFormat/>
    <w:rPr>
      <w:b/>
    </w:rPr>
  </w:style>
  <w:style w:type="character" w:styleId="WW8Num11z1">
    <w:name w:val="WW8Num11z1"/>
    <w:qFormat/>
    <w:rPr>
      <w:b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Times New Roman" w:hAnsi="Times New Roman" w:eastAsia="Times New Roman" w:cs="Times New Roman"/>
    </w:rPr>
  </w:style>
  <w:style w:type="character" w:styleId="WW8Num14z0">
    <w:name w:val="WW8Num14z0"/>
    <w:qFormat/>
    <w:rPr/>
  </w:style>
  <w:style w:type="character" w:styleId="WW8Num14z1">
    <w:name w:val="WW8Num14z1"/>
    <w:qFormat/>
    <w:rPr>
      <w:sz w:val="20"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b/>
      <w:color w:val="000000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>
      <w:rFonts w:ascii="Times New Roman" w:hAnsi="Times New Roman" w:cs="Times New Roman"/>
    </w:rPr>
  </w:style>
  <w:style w:type="character" w:styleId="WW8Num28z1">
    <w:name w:val="WW8Num28z1"/>
    <w:qFormat/>
    <w:rPr>
      <w:b/>
    </w:rPr>
  </w:style>
  <w:style w:type="character" w:styleId="WW8Num28z2">
    <w:name w:val="WW8Num28z2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/>
  </w:style>
  <w:style w:type="character" w:styleId="Style10">
    <w:name w:val="Основной шрифт абзаца"/>
    <w:qFormat/>
    <w:rPr/>
  </w:style>
  <w:style w:type="character" w:styleId="Style11">
    <w:name w:val="комментарий"/>
    <w:qFormat/>
    <w:rPr>
      <w:b/>
      <w:i/>
      <w:shd w:fill="FFFF99" w:val="clear"/>
    </w:rPr>
  </w:style>
  <w:style w:type="character" w:styleId="PageNumber">
    <w:name w:val="page number"/>
    <w:basedOn w:val="Style10"/>
    <w:rPr/>
  </w:style>
  <w:style w:type="character" w:styleId="Style12">
    <w:name w:val="Пункт Знак"/>
    <w:qFormat/>
    <w:rPr>
      <w:b/>
      <w:sz w:val="28"/>
      <w:szCs w:val="28"/>
      <w:lang w:val="ru-RU" w:bidi="ar-SA"/>
    </w:rPr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styleId="Style13">
    <w:name w:val="Верхний колонтитул Знак"/>
    <w:qFormat/>
    <w:rPr>
      <w:sz w:val="28"/>
      <w:lang w:val="ru-RU" w:bidi="ar-SA"/>
    </w:rPr>
  </w:style>
  <w:style w:type="character" w:styleId="1">
    <w:name w:val="Пункт Знак1"/>
    <w:qFormat/>
    <w:rPr>
      <w:b/>
      <w:sz w:val="28"/>
      <w:szCs w:val="28"/>
      <w:lang w:val="ru-RU" w:bidi="ar-SA"/>
    </w:rPr>
  </w:style>
  <w:style w:type="character" w:styleId="webofficeattributevalue1">
    <w:name w:val="webofficeattributevalue1"/>
    <w:qFormat/>
    <w:rPr>
      <w:rFonts w:ascii="Verdana" w:hAnsi="Verdana" w:cs="Verdana"/>
      <w:strike w:val="false"/>
      <w:dstrike w:val="false"/>
      <w:color w:val="000000"/>
      <w:sz w:val="16"/>
      <w:szCs w:val="16"/>
      <w:u w:val="none"/>
    </w:rPr>
  </w:style>
  <w:style w:type="character" w:styleId="value">
    <w:name w:val="value"/>
    <w:basedOn w:val="Style10"/>
    <w:qFormat/>
    <w:rPr/>
  </w:style>
  <w:style w:type="character" w:styleId="x-small1">
    <w:name w:val="x-small1"/>
    <w:qFormat/>
    <w:rPr>
      <w:sz w:val="18"/>
      <w:szCs w:val="18"/>
    </w:rPr>
  </w:style>
  <w:style w:type="character" w:styleId="Style14">
    <w:name w:val="Замещающий текст"/>
    <w:qFormat/>
    <w:rPr>
      <w:color w:val="808080"/>
    </w:rPr>
  </w:style>
  <w:style w:type="character" w:styleId="Style15">
    <w:name w:val="Название Знак"/>
    <w:qFormat/>
    <w:rPr>
      <w:sz w:val="28"/>
      <w:szCs w:val="24"/>
    </w:rPr>
  </w:style>
  <w:style w:type="character" w:styleId="11">
    <w:name w:val="Подпункт Знак1"/>
    <w:qFormat/>
    <w:rPr>
      <w:sz w:val="22"/>
    </w:rPr>
  </w:style>
  <w:style w:type="character" w:styleId="2">
    <w:name w:val="Основной текст с отступом 2 Знак"/>
    <w:qFormat/>
    <w:rPr>
      <w:sz w:val="24"/>
    </w:rPr>
  </w:style>
  <w:style w:type="paragraph" w:styleId="Heading">
    <w:name w:val="Heading"/>
    <w:basedOn w:val="Normal"/>
    <w:next w:val="BodyText"/>
    <w:qFormat/>
    <w:pPr>
      <w:ind w:hanging="0" w:start="0" w:end="0"/>
      <w:jc w:val="center"/>
    </w:pPr>
    <w:rPr>
      <w:szCs w:val="24"/>
      <w:lang w:val="en-US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2">
    <w:name w:val="Стиль Заголовок 1 + по ширине"/>
    <w:basedOn w:val="Heading1"/>
    <w:qFormat/>
    <w:pPr>
      <w:keepLines/>
      <w:numPr>
        <w:ilvl w:val="0"/>
        <w:numId w:val="4"/>
      </w:numPr>
      <w:suppressAutoHyphens w:val="true"/>
      <w:spacing w:lineRule="auto" w:line="240" w:before="480" w:after="240"/>
    </w:pPr>
    <w:rPr>
      <w:rFonts w:cs="Times New Roman"/>
      <w:kern w:val="2"/>
      <w:sz w:val="40"/>
      <w:szCs w:val="20"/>
    </w:rPr>
  </w:style>
  <w:style w:type="paragraph" w:styleId="BodyTextIndent">
    <w:name w:val="Body Text Indent"/>
    <w:basedOn w:val="Normal"/>
    <w:pPr>
      <w:tabs>
        <w:tab w:val="clear" w:pos="709"/>
        <w:tab w:val="left" w:pos="720" w:leader="none"/>
      </w:tabs>
      <w:spacing w:lineRule="auto" w:line="240"/>
      <w:ind w:firstLine="567" w:start="-360" w:end="0"/>
    </w:pPr>
    <w:rPr>
      <w:sz w:val="2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Style16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7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8">
    <w:name w:val="Пункт"/>
    <w:basedOn w:val="Normal"/>
    <w:qFormat/>
    <w:pPr>
      <w:tabs>
        <w:tab w:val="clear" w:pos="709"/>
        <w:tab w:val="left" w:pos="1134" w:leader="none"/>
      </w:tabs>
      <w:ind w:hanging="1134" w:start="1134" w:end="0"/>
    </w:pPr>
    <w:rPr>
      <w:b/>
      <w:szCs w:val="28"/>
    </w:rPr>
  </w:style>
  <w:style w:type="paragraph" w:styleId="-2">
    <w:name w:val="Пункт-2"/>
    <w:basedOn w:val="Style18"/>
    <w:qFormat/>
    <w:pPr>
      <w:keepNext w:val="true"/>
      <w:outlineLvl w:val="2"/>
    </w:pPr>
    <w:rPr>
      <w:b w:val="false"/>
    </w:rPr>
  </w:style>
  <w:style w:type="paragraph" w:styleId="Style19">
    <w:name w:val="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WW-">
    <w:name w:val="WW-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20">
    <w:name w:val="Знак Знак Знак"/>
    <w:basedOn w:val="Normal"/>
    <w:qFormat/>
    <w:pPr>
      <w:tabs>
        <w:tab w:val="clear" w:pos="709"/>
        <w:tab w:val="left" w:pos="360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WW-1">
    <w:name w:val="WW-Знак1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13">
    <w:name w:val="Знак Знак Знак1 Знак Знак Знак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21">
    <w:name w:val="Нумерованный список"/>
    <w:basedOn w:val="Normal"/>
    <w:qFormat/>
    <w:pPr>
      <w:numPr>
        <w:ilvl w:val="0"/>
        <w:numId w:val="6"/>
      </w:numPr>
      <w:autoSpaceDE w:val="false"/>
      <w:spacing w:before="60" w:after="0"/>
    </w:pPr>
    <w:rPr>
      <w:bCs/>
      <w:sz w:val="22"/>
      <w:szCs w:val="24"/>
    </w:rPr>
  </w:style>
  <w:style w:type="paragraph" w:styleId="21">
    <w:name w:val="Основной текст с отступом 2"/>
    <w:basedOn w:val="Normal"/>
    <w:qFormat/>
    <w:pPr>
      <w:spacing w:lineRule="auto" w:line="240"/>
      <w:ind w:hanging="0" w:start="-540" w:end="0"/>
      <w:jc w:val="center"/>
    </w:pPr>
    <w:rPr>
      <w:sz w:val="24"/>
    </w:rPr>
  </w:style>
  <w:style w:type="paragraph" w:styleId="14">
    <w:name w:val="Обычный1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xl34">
    <w:name w:val="xl34"/>
    <w:basedOn w:val="Normal"/>
    <w:qFormat/>
    <w:pPr>
      <w:pBdr>
        <w:left w:val="single" w:sz="4" w:space="0" w:color="000000"/>
        <w:right w:val="single" w:sz="4" w:space="0" w:color="000000"/>
      </w:pBdr>
      <w:spacing w:lineRule="auto" w:line="240" w:before="280" w:after="280"/>
      <w:ind w:hanging="0" w:start="0" w:end="0"/>
      <w:jc w:val="start"/>
    </w:pPr>
    <w:rPr>
      <w:rFonts w:ascii="Arial Unicode MS" w:hAnsi="Arial Unicode MS" w:eastAsia="Arial Unicode MS" w:cs="Arial Unicode MS"/>
      <w:sz w:val="24"/>
      <w:szCs w:val="24"/>
    </w:rPr>
  </w:style>
  <w:style w:type="paragraph" w:styleId="Style22">
    <w:name w:val="Знак Знак Знак Знак"/>
    <w:basedOn w:val="Normal"/>
    <w:qFormat/>
    <w:pPr>
      <w:tabs>
        <w:tab w:val="clear" w:pos="709"/>
        <w:tab w:val="left" w:pos="360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WW-11">
    <w:name w:val="WW-Знак Знак Знак1 Знак Знак Знак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23">
    <w:name w:val="Знак Знак Знак Знак Знак Знак Знак"/>
    <w:basedOn w:val="Normal"/>
    <w:qFormat/>
    <w:pPr>
      <w:tabs>
        <w:tab w:val="clear" w:pos="709"/>
        <w:tab w:val="left" w:pos="360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24">
    <w:name w:val="Ариал"/>
    <w:basedOn w:val="Normal"/>
    <w:qFormat/>
    <w:pPr>
      <w:spacing w:before="120" w:after="120"/>
      <w:ind w:firstLine="851" w:start="0" w:end="0"/>
    </w:pPr>
    <w:rPr>
      <w:rFonts w:ascii="Arial" w:hAnsi="Arial" w:cs="Arial"/>
      <w:sz w:val="24"/>
      <w:szCs w:val="24"/>
    </w:rPr>
  </w:style>
  <w:style w:type="paragraph" w:styleId="WW-2">
    <w:name w:val="WW-Знак Знак Знак Знак Знак Знак Знак"/>
    <w:basedOn w:val="Normal"/>
    <w:qFormat/>
    <w:pPr>
      <w:tabs>
        <w:tab w:val="clear" w:pos="709"/>
        <w:tab w:val="left" w:pos="360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3">
    <w:name w:val="Обычный3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4">
    <w:name w:val="Обычный4"/>
    <w:qFormat/>
    <w:pPr>
      <w:widowControl/>
      <w:bidi w:val="0"/>
    </w:pPr>
    <w:rPr>
      <w:rFonts w:ascii="Arial" w:hAnsi="Arial" w:eastAsia="Times New Roman" w:cs="Arial"/>
      <w:color w:val="auto"/>
      <w:sz w:val="18"/>
      <w:szCs w:val="20"/>
      <w:lang w:val="ru-RU" w:bidi="ar-SA" w:eastAsia="zh-CN"/>
    </w:rPr>
  </w:style>
  <w:style w:type="paragraph" w:styleId="5">
    <w:name w:val="Обычный5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22">
    <w:name w:val="Обычный2"/>
    <w:qFormat/>
    <w:pPr>
      <w:widowControl/>
      <w:bidi w:val="0"/>
      <w:spacing w:before="100" w:after="10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Style25">
    <w:name w:val="Обычный (веб)"/>
    <w:basedOn w:val="Normal"/>
    <w:qFormat/>
    <w:pPr>
      <w:spacing w:lineRule="auto" w:line="240" w:before="280" w:after="280"/>
      <w:ind w:hanging="0" w:start="0" w:end="0"/>
      <w:jc w:val="start"/>
    </w:pPr>
    <w:rPr>
      <w:sz w:val="24"/>
      <w:szCs w:val="24"/>
    </w:rPr>
  </w:style>
  <w:style w:type="paragraph" w:styleId="WW-12">
    <w:name w:val="WW-Обычный1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Style26">
    <w:name w:val="Абзац списка"/>
    <w:basedOn w:val="Normal"/>
    <w:qFormat/>
    <w:pPr>
      <w:suppressAutoHyphens w:val="true"/>
      <w:spacing w:before="0" w:after="0"/>
      <w:ind w:firstLine="567" w:start="720" w:end="0"/>
      <w:contextualSpacing/>
    </w:pPr>
    <w:rPr>
      <w:kern w:val="2"/>
    </w:rPr>
  </w:style>
  <w:style w:type="paragraph" w:styleId="Style27">
    <w:name w:val="Подпункт"/>
    <w:basedOn w:val="Normal"/>
    <w:qFormat/>
    <w:pPr>
      <w:tabs>
        <w:tab w:val="clear" w:pos="709"/>
        <w:tab w:val="left" w:pos="1701" w:leader="none"/>
      </w:tabs>
      <w:ind w:hanging="1134" w:start="1701" w:end="0"/>
    </w:pPr>
    <w:rPr>
      <w:sz w:val="22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tender.lot-online.ru/" TargetMode="Externa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ПрРРП1.dotx</Template>
  <TotalTime>4446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2018-06-29T10:41:00Z</dcterms:created>
  <dc:creator>moesk</dc:creator>
  <dc:description>1815</dc:description>
  <cp:keywords/>
  <dc:language>en-US</dc:language>
  <cp:lastModifiedBy>Огородникова Елена Алексеевна</cp:lastModifiedBy>
  <cp:lastPrinted>2020-01-15T10:06:00Z</cp:lastPrinted>
  <dcterms:modified xsi:type="dcterms:W3CDTF">2025-12-12T09:25:00Z</dcterms:modified>
  <cp:revision>3908</cp:revision>
  <dc:subject>B2B-Moesk №1036357</dc:subject>
  <dc:title>Протокол заседания Конкурсной комиссии по оценке конкурсных заявок и выбору Победителя конкурса</dc:title>
</cp:coreProperties>
</file>