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1"/>
        <w:rPr>
          <w:rFonts w:ascii="Times New Roman" w:hAnsi="Times New Roman" w:cs="Times New Roman"/>
          <w:bCs/>
          <w:kern w:val="2"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kern w:val="2"/>
          <w:sz w:val="24"/>
          <w:szCs w:val="24"/>
          <w:lang w:eastAsia="ru-RU"/>
        </w:rPr>
        <w:t xml:space="preserve"> 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4643"/>
      </w:tblGrid>
      <w:tr>
        <w:trPr/>
        <w:tc>
          <w:tcPr>
            <w:tcW w:w="4928" w:type="dxa"/>
            <w:vMerge w:val="restart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color w:val="1F497D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olor w:val="1F497D"/>
                <w:sz w:val="28"/>
                <w:szCs w:val="28"/>
              </w:rPr>
              <w:t>Общество с ограниченной ответственностью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/>
                <w:color w:val="1F497D"/>
                <w:sz w:val="28"/>
                <w:szCs w:val="28"/>
              </w:rPr>
              <w:t>«Нижегородская электросетевая компания»</w:t>
            </w:r>
          </w:p>
        </w:tc>
        <w:tc>
          <w:tcPr>
            <w:tcW w:w="4643" w:type="dxa"/>
            <w:tcBorders/>
          </w:tcPr>
          <w:p>
            <w:pPr>
              <w:pStyle w:val="Iauiue"/>
              <w:tabs>
                <w:tab w:val="clear" w:pos="708"/>
                <w:tab w:val="left" w:pos="5671" w:leader="none"/>
              </w:tabs>
              <w:ind w:end="51"/>
              <w:jc w:val="both"/>
              <w:rPr>
                <w:bCs/>
                <w:kern w:val="2"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val="ru-RU"/>
              </w:rPr>
              <w:t>ООО «НЭСК»</w:t>
            </w:r>
          </w:p>
        </w:tc>
      </w:tr>
      <w:tr>
        <w:trPr/>
        <w:tc>
          <w:tcPr>
            <w:tcW w:w="4928" w:type="dxa"/>
            <w:vMerge w:val="continue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40" w:before="0" w:after="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  <w:lang w:eastAsia="ru-RU"/>
              </w:rPr>
            </w:r>
          </w:p>
        </w:tc>
        <w:tc>
          <w:tcPr>
            <w:tcW w:w="4643" w:type="dxa"/>
            <w:tcBorders/>
          </w:tcPr>
          <w:p>
            <w:pPr>
              <w:pStyle w:val="Iauiue"/>
              <w:tabs>
                <w:tab w:val="clear" w:pos="708"/>
                <w:tab w:val="left" w:pos="5671" w:leader="none"/>
              </w:tabs>
              <w:ind w:end="51"/>
              <w:jc w:val="both"/>
              <w:rPr>
                <w:bCs/>
                <w:kern w:val="2"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val="ru-RU"/>
              </w:rPr>
              <w:t>Общество с ограниченной ответственностью</w:t>
            </w:r>
          </w:p>
        </w:tc>
      </w:tr>
      <w:tr>
        <w:trPr/>
        <w:tc>
          <w:tcPr>
            <w:tcW w:w="4928" w:type="dxa"/>
            <w:vMerge w:val="continue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40" w:before="0" w:after="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  <w:lang w:eastAsia="ru-RU"/>
              </w:rPr>
            </w:r>
          </w:p>
        </w:tc>
        <w:tc>
          <w:tcPr>
            <w:tcW w:w="4643" w:type="dxa"/>
            <w:tcBorders/>
          </w:tcPr>
          <w:p>
            <w:pPr>
              <w:pStyle w:val="Iauiue"/>
              <w:tabs>
                <w:tab w:val="clear" w:pos="708"/>
                <w:tab w:val="left" w:pos="5671" w:leader="none"/>
              </w:tabs>
              <w:ind w:end="51"/>
              <w:jc w:val="both"/>
              <w:rPr>
                <w:bCs/>
                <w:kern w:val="2"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  <w:lang w:val="ru-RU"/>
              </w:rPr>
              <w:t>«Нижегородская электросетевая компания»</w:t>
            </w:r>
          </w:p>
        </w:tc>
      </w:tr>
      <w:tr>
        <w:trPr/>
        <w:tc>
          <w:tcPr>
            <w:tcW w:w="4928" w:type="dxa"/>
            <w:vMerge w:val="continue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40" w:before="0" w:after="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  <w:lang w:eastAsia="ru-RU"/>
              </w:rPr>
            </w:r>
          </w:p>
        </w:tc>
        <w:tc>
          <w:tcPr>
            <w:tcW w:w="4643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Times New Roman" w:hAnsi="Times New Roman" w:cs="Times New Roman"/>
                <w:bCs/>
                <w:kern w:val="2"/>
                <w:sz w:val="16"/>
                <w:szCs w:val="16"/>
                <w:lang w:eastAsia="ru-RU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603004, г. Нижний Новгород, пр-кт Ленина,                              дом 111, офис (этаж 2), помещ. 214/А</w:t>
            </w:r>
          </w:p>
        </w:tc>
      </w:tr>
      <w:tr>
        <w:trPr/>
        <w:tc>
          <w:tcPr>
            <w:tcW w:w="4928" w:type="dxa"/>
            <w:vMerge w:val="continue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40" w:before="0" w:after="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  <w:lang w:eastAsia="ru-RU"/>
              </w:rPr>
            </w:r>
          </w:p>
        </w:tc>
        <w:tc>
          <w:tcPr>
            <w:tcW w:w="4643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  <w:sz w:val="16"/>
                <w:szCs w:val="16"/>
                <w:lang w:eastAsia="ru-RU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ОКПО 42415896, ОГРН 1145256007357</w:t>
            </w:r>
          </w:p>
        </w:tc>
      </w:tr>
      <w:tr>
        <w:trPr/>
        <w:tc>
          <w:tcPr>
            <w:tcW w:w="4928" w:type="dxa"/>
            <w:vMerge w:val="continue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40" w:before="0" w:after="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  <w:lang w:eastAsia="ru-RU"/>
              </w:rPr>
            </w:r>
          </w:p>
        </w:tc>
        <w:tc>
          <w:tcPr>
            <w:tcW w:w="4643" w:type="dxa"/>
            <w:tcBorders/>
          </w:tcPr>
          <w:p>
            <w:pPr>
              <w:pStyle w:val="Normal"/>
              <w:spacing w:lineRule="auto" w:line="2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ИНН/КПП 5256133344/525601001</w:t>
            </w:r>
          </w:p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 w:cs="Times New Roman"/>
                <w:bCs/>
                <w:kern w:val="2"/>
                <w:sz w:val="16"/>
                <w:szCs w:val="16"/>
                <w:lang w:eastAsia="ru-RU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Тел. (831)290-99-06 </w:t>
            </w:r>
            <w:r>
              <w:rPr>
                <w:rFonts w:cs="Times New Roman" w:ascii="Times New Roman" w:hAnsi="Times New Roman"/>
                <w:b/>
                <w:sz w:val="20"/>
                <w:szCs w:val="20"/>
                <w:lang w:val="en-US"/>
              </w:rPr>
              <w:t>e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-</w:t>
            </w:r>
            <w:r>
              <w:rPr>
                <w:rFonts w:cs="Times New Roman" w:ascii="Times New Roman" w:hAnsi="Times New Roman"/>
                <w:b/>
                <w:sz w:val="20"/>
                <w:szCs w:val="20"/>
                <w:lang w:val="en-US"/>
              </w:rPr>
              <w:t>mail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: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secrt@ne-sk.ru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16" w:before="0" w:after="0"/>
        <w:jc w:val="center"/>
        <w:outlineLvl w:val="1"/>
        <w:rPr>
          <w:rFonts w:ascii="Times New Roman" w:hAnsi="Times New Roman" w:cs="Times New Roman"/>
          <w:b/>
          <w:bCs/>
          <w:kern w:val="2"/>
          <w:lang w:eastAsia="ru-RU"/>
        </w:rPr>
      </w:pPr>
      <w:r>
        <w:rPr>
          <w:rFonts w:cs="Times New Roman" w:ascii="Times New Roman" w:hAnsi="Times New Roman"/>
          <w:b/>
          <w:bCs/>
          <w:kern w:val="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16" w:before="0" w:after="0"/>
        <w:jc w:val="center"/>
        <w:outlineLvl w:val="1"/>
        <w:rPr>
          <w:rFonts w:ascii="Times New Roman" w:hAnsi="Times New Roman" w:cs="Times New Roman"/>
          <w:b/>
          <w:bCs/>
          <w:kern w:val="2"/>
          <w:lang w:eastAsia="ru-RU"/>
        </w:rPr>
      </w:pPr>
      <w:r>
        <w:rPr>
          <w:rFonts w:cs="Times New Roman" w:ascii="Times New Roman" w:hAnsi="Times New Roman"/>
          <w:b/>
          <w:bCs/>
          <w:kern w:val="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16" w:before="0" w:after="0"/>
        <w:jc w:val="center"/>
        <w:outlineLvl w:val="1"/>
        <w:rPr>
          <w:rFonts w:ascii="Times New Roman" w:hAnsi="Times New Roman" w:cs="Times New Roman"/>
          <w:b/>
          <w:bCs/>
          <w:kern w:val="2"/>
          <w:lang w:eastAsia="ru-RU"/>
        </w:rPr>
      </w:pPr>
      <w:r>
        <w:rPr>
          <w:rFonts w:cs="Times New Roman" w:ascii="Times New Roman" w:hAnsi="Times New Roman"/>
          <w:b/>
          <w:bCs/>
          <w:kern w:val="2"/>
          <w:lang w:eastAsia="ru-RU"/>
        </w:rPr>
        <w:t>Протокол № 150/НЭСК-2025</w:t>
      </w:r>
    </w:p>
    <w:p>
      <w:pPr>
        <w:pStyle w:val="Normal"/>
        <w:numPr>
          <w:ilvl w:val="0"/>
          <w:numId w:val="0"/>
        </w:numPr>
        <w:spacing w:lineRule="auto" w:line="216" w:before="0" w:after="0"/>
        <w:jc w:val="center"/>
        <w:outlineLvl w:val="1"/>
        <w:rPr>
          <w:rFonts w:ascii="Times New Roman" w:hAnsi="Times New Roman" w:cs="Times New Roman"/>
          <w:bCs/>
          <w:kern w:val="2"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kern w:val="2"/>
          <w:sz w:val="24"/>
          <w:szCs w:val="24"/>
          <w:lang w:eastAsia="ru-RU"/>
        </w:rPr>
        <w:t xml:space="preserve">рассмотрения заявок на участие в анализе рынка в электронной форме </w:t>
      </w:r>
    </w:p>
    <w:p>
      <w:pPr>
        <w:pStyle w:val="Normal"/>
        <w:numPr>
          <w:ilvl w:val="0"/>
          <w:numId w:val="0"/>
        </w:numPr>
        <w:spacing w:lineRule="auto" w:line="216" w:before="0" w:after="0"/>
        <w:jc w:val="center"/>
        <w:outlineLvl w:val="1"/>
        <w:rPr>
          <w:rFonts w:ascii="Times New Roman" w:hAnsi="Times New Roman" w:cs="Times New Roman"/>
          <w:bCs/>
          <w:kern w:val="2"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kern w:val="2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16" w:before="0" w:after="0"/>
        <w:jc w:val="center"/>
        <w:outlineLvl w:val="1"/>
        <w:rPr>
          <w:rFonts w:ascii="Times New Roman" w:hAnsi="Times New Roman" w:cs="Times New Roman"/>
          <w:bCs/>
          <w:kern w:val="2"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kern w:val="2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16" w:before="0" w:after="0"/>
        <w:outlineLvl w:val="1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16" w:before="0" w:after="0"/>
        <w:outlineLvl w:val="1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г. Нижний Новгород</w:t>
        <w:tab/>
        <w:t xml:space="preserve">                                       </w:t>
        <w:tab/>
        <w:tab/>
        <w:tab/>
        <w:tab/>
        <w:t>15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  <w:bookmarkStart w:id="0" w:name="_Hlk166850218"/>
      <w:bookmarkStart w:id="1" w:name="_Hlk166850218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Председатель   комиссии - Д.А. Недоростков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Секретарь комиссии – Парамонова А.Ф.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Члены комиссии: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Пронин С.М.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Маркова Л.Ю.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Коршунова Е.А.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Маркова Т.В.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Белодворцев А.Б.</w:t>
      </w:r>
    </w:p>
    <w:p>
      <w:pPr>
        <w:pStyle w:val="Normal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before="0" w:after="0"/>
        <w:ind w:firstLine="709" w:end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Состав закупочной комиссии утвержден приказом по ООО «НЭСК» 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>от</w:t>
      </w:r>
      <w:r>
        <w:rPr>
          <w:rFonts w:cs="Times New Roman" w:ascii="Times New Roman" w:hAnsi="Times New Roman"/>
          <w:b/>
          <w:sz w:val="24"/>
          <w:szCs w:val="24"/>
        </w:rPr>
        <w:t xml:space="preserve"> 18.01.2023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№ 5, от 02.10.2023 №61,</w:t>
      </w:r>
      <w:r>
        <w:rPr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 xml:space="preserve">от 14.02.2024г. №15. </w:t>
      </w:r>
      <w:r>
        <w:rPr>
          <w:rFonts w:cs="Times New Roman" w:ascii="Times New Roman" w:hAnsi="Times New Roman"/>
          <w:sz w:val="24"/>
          <w:szCs w:val="24"/>
          <w:lang w:eastAsia="ru-RU"/>
        </w:rPr>
        <w:t>Кворум имеется.</w:t>
      </w:r>
      <w:bookmarkEnd w:id="1"/>
    </w:p>
    <w:p>
      <w:pPr>
        <w:pStyle w:val="Normal"/>
        <w:spacing w:before="0" w:after="0"/>
        <w:ind w:firstLine="709" w:end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  <w:lang w:eastAsia="ru-RU"/>
        </w:rPr>
        <w:t>1. Наименование предмета анализа рынка в электронной форме:</w:t>
      </w:r>
    </w:p>
    <w:p>
      <w:pPr>
        <w:pStyle w:val="Normal"/>
        <w:spacing w:lineRule="auto" w:line="240" w:before="0" w:after="0"/>
        <w:contextualSpacing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Оказание услуг по предоставлению специализированной техники с экипажем для ООО «НЭСК» в 2026году.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eastAsia="ru-RU"/>
        </w:rPr>
        <w:t>2. Заказчик:</w:t>
      </w:r>
    </w:p>
    <w:p>
      <w:pPr>
        <w:pStyle w:val="Normal"/>
        <w:spacing w:lineRule="auto" w:line="240" w:before="0" w:after="0"/>
        <w:contextualSpacing/>
        <w:jc w:val="both"/>
        <w:rPr/>
      </w:pPr>
      <w:r>
        <w:rPr>
          <w:rFonts w:cs="Times New Roman" w:ascii="Times New Roman" w:hAnsi="Times New Roman"/>
          <w:bCs/>
          <w:sz w:val="24"/>
          <w:szCs w:val="24"/>
          <w:lang w:eastAsia="ru-RU"/>
        </w:rPr>
        <w:t>ООО «НЭСК», 603004, Нижегородская область, г.о. город Нижний Новгород, г Нижний Новгород, пр-кт Ленина, д. 111, офис (2 этаж) помещ. 214/А.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Место рассмотрения заявок: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  <w:lang w:eastAsia="ru-RU"/>
        </w:rPr>
        <w:t>603004, Россия, Нижегородская область, г. Нижний Новгород, пр-кт Ленина, д. 109, офис 511.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eastAsia="ru-RU"/>
        </w:rPr>
        <w:t xml:space="preserve">3. Предмет договора: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Оказание услуг по предоставлению специализированной техники с экипажем для ООО «НЭСК» в 2026году.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widowControl w:val="false"/>
        <w:spacing w:lineRule="auto" w:line="240" w:before="0" w:after="2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eastAsia="ru-RU"/>
        </w:rPr>
        <w:t>Начальная (максимальная) цена договора</w:t>
      </w:r>
      <w:r>
        <w:rPr>
          <w:rFonts w:cs="Times New Roman" w:ascii="Times New Roman" w:hAnsi="Times New Roman"/>
          <w:b/>
          <w:bCs/>
          <w:sz w:val="24"/>
          <w:szCs w:val="24"/>
          <w:lang w:eastAsia="ru-RU"/>
        </w:rPr>
        <w:t xml:space="preserve">: </w:t>
      </w:r>
      <w:r>
        <w:rPr>
          <w:rFonts w:cs="Times New Roman" w:ascii="Times New Roman" w:hAnsi="Times New Roman"/>
          <w:sz w:val="24"/>
          <w:szCs w:val="24"/>
          <w:shd w:fill="FFFFFF" w:val="clear"/>
        </w:rPr>
        <w:t>582 080,00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(пятьсот восемьдесят  две тысячи восемьдесят) рублей 00 копеек.</w:t>
      </w:r>
    </w:p>
    <w:p>
      <w:pPr>
        <w:pStyle w:val="Normal"/>
        <w:widowControl w:val="false"/>
        <w:spacing w:lineRule="auto" w:line="240" w:before="0" w:after="2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  <w:lang w:eastAsia="ru-RU"/>
        </w:rPr>
        <w:t>4. Извещение о проведении анализа рынка в электронной форме: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Извещение о проведении </w:t>
      </w:r>
      <w:r>
        <w:rPr>
          <w:rFonts w:cs="Times New Roman" w:ascii="Times New Roman" w:hAnsi="Times New Roman"/>
          <w:bCs/>
          <w:sz w:val="24"/>
          <w:szCs w:val="24"/>
          <w:lang w:eastAsia="ru-RU"/>
        </w:rPr>
        <w:t>анализа рынка в электронной форме</w:t>
      </w:r>
      <w:r>
        <w:rPr>
          <w:rStyle w:val="Hyperlink"/>
          <w:rFonts w:cs="Times New Roman" w:ascii="Times New Roman" w:hAnsi="Times New Roman"/>
          <w:bCs/>
          <w:color w:val="000000"/>
          <w:sz w:val="24"/>
          <w:szCs w:val="24"/>
          <w:u w:val="none"/>
          <w:lang w:eastAsia="ru-RU"/>
        </w:rPr>
        <w:t xml:space="preserve"> </w:t>
      </w:r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</w:rPr>
        <w:t xml:space="preserve">№ 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32515431732 </w:t>
      </w:r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  <w:lang w:eastAsia="ru-RU"/>
        </w:rPr>
        <w:t>было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размещено на официальном сайте Единой информационной системы в сфере закупок в сети Интернет по адресу: </w:t>
      </w:r>
      <w:hyperlink r:id="rId2">
        <w:r>
          <w:rPr>
            <w:rStyle w:val="Hyperlink"/>
            <w:rFonts w:cs="Times New Roman" w:ascii="Times New Roman" w:hAnsi="Times New Roman"/>
            <w:color w:val="000000"/>
            <w:sz w:val="24"/>
            <w:szCs w:val="24"/>
            <w:u w:val="none"/>
            <w:lang w:eastAsia="ru-RU"/>
          </w:rPr>
          <w:t>www.zakupki.gov.ru</w:t>
        </w:r>
      </w:hyperlink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  <w:lang w:eastAsia="ru-RU"/>
        </w:rPr>
        <w:t xml:space="preserve">, и на Электронной торговой площадке Группа Газпромбанка, по адресу в сети Интернет: 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  <w:shd w:fill="FFFFFF" w:val="clear"/>
          </w:rPr>
          <w:t>http://etp.gpb.ru</w:t>
        </w:r>
      </w:hyperlink>
      <w:r>
        <w:rPr>
          <w:rFonts w:cs="Times New Roman" w:ascii="Times New Roman" w:hAnsi="Times New Roman"/>
          <w:color w:val="222222"/>
          <w:sz w:val="24"/>
          <w:szCs w:val="24"/>
          <w:shd w:fill="FFFFFF" w:val="clear"/>
        </w:rPr>
        <w:t xml:space="preserve"> 21</w:t>
      </w:r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  <w:lang w:eastAsia="ru-RU"/>
        </w:rPr>
        <w:t>.11.2025 г.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План закупки № </w:t>
      </w:r>
      <w:r>
        <w:rPr>
          <w:rFonts w:cs="Times New Roman" w:ascii="Times New Roman" w:hAnsi="Times New Roman"/>
          <w:sz w:val="24"/>
          <w:szCs w:val="24"/>
          <w:shd w:fill="FFFFFF" w:val="clear"/>
        </w:rPr>
        <w:t>2240805270</w:t>
      </w:r>
      <w:r>
        <w:rPr>
          <w:rFonts w:cs="Times New Roman" w:ascii="Times New Roman" w:hAnsi="Times New Roman"/>
          <w:sz w:val="24"/>
          <w:szCs w:val="24"/>
          <w:lang w:eastAsia="ru-RU"/>
        </w:rPr>
        <w:t>, позиция плана 98.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  <w:lang w:eastAsia="ru-RU"/>
        </w:rPr>
        <w:t>5. Процедура рассмотрения заявок на участие в анализе рынка в электронной форме: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eastAsia="ru-RU"/>
        </w:rPr>
        <w:t>До окончания указанного в извещении срока подачи заявок, 15.12.2025 г., 10-00 часов (время Московское) были поданы 2 заявки: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tbl>
      <w:tblPr>
        <w:tblW w:w="90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1418"/>
        <w:gridCol w:w="2835"/>
        <w:gridCol w:w="1560"/>
        <w:gridCol w:w="1276"/>
        <w:gridCol w:w="1133"/>
      </w:tblGrid>
      <w:tr>
        <w:trPr>
          <w:trHeight w:val="1269" w:hRule="atLeast"/>
        </w:trPr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jc w:val="center"/>
              <w:outlineLvl w:val="0"/>
              <w:rPr>
                <w:rFonts w:ascii="Times New Roman" w:hAnsi="Times New Roman" w:cs="Times New Roman"/>
                <w:b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  <w:lang w:eastAsia="ru-RU"/>
              </w:rPr>
              <w:t>Регистрационный номер заявки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4" w:end="0"/>
              <w:jc w:val="center"/>
              <w:outlineLvl w:val="0"/>
              <w:rPr>
                <w:rFonts w:ascii="Times New Roman" w:hAnsi="Times New Roman" w:cs="Times New Roman"/>
                <w:b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  <w:lang w:eastAsia="ru-RU"/>
              </w:rPr>
              <w:t>Дата и время регистрации заявки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jc w:val="center"/>
              <w:outlineLvl w:val="0"/>
              <w:rPr>
                <w:rFonts w:ascii="Times New Roman" w:hAnsi="Times New Roman" w:cs="Times New Roman"/>
                <w:b/>
                <w:sz w:val="16"/>
                <w:szCs w:val="16"/>
                <w:lang w:eastAsia="ru-RU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  <w:lang w:eastAsia="ru-RU"/>
              </w:rPr>
              <w:t>Участник размещения заказа, подавший заявку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/>
              <w:widowControl w:val="false"/>
              <w:tabs>
                <w:tab w:val="clear" w:pos="708"/>
                <w:tab w:val="left" w:pos="0" w:leader="none"/>
                <w:tab w:val="left" w:pos="792" w:leader="none"/>
              </w:tabs>
              <w:overflowPunct w:val="false"/>
              <w:spacing w:lineRule="auto" w:line="216" w:before="0" w:after="0"/>
              <w:ind w:firstLine="32" w:end="0"/>
              <w:jc w:val="center"/>
              <w:textAlignment w:val="baseline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6"/>
                <w:szCs w:val="16"/>
              </w:rPr>
              <w:t xml:space="preserve">Предложенная цена договора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/>
              <w:widowControl w:val="false"/>
              <w:tabs>
                <w:tab w:val="clear" w:pos="708"/>
                <w:tab w:val="left" w:pos="0" w:leader="none"/>
                <w:tab w:val="left" w:pos="792" w:leader="none"/>
              </w:tabs>
              <w:overflowPunct w:val="false"/>
              <w:spacing w:lineRule="auto" w:line="216" w:before="0" w:after="0"/>
              <w:ind w:firstLine="31" w:end="0"/>
              <w:jc w:val="center"/>
              <w:textAlignment w:val="baseline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Российское или иностранное лицо (участник Закупки)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widowControl w:val="false"/>
              <w:tabs>
                <w:tab w:val="clear" w:pos="708"/>
                <w:tab w:val="left" w:pos="0" w:leader="none"/>
                <w:tab w:val="left" w:pos="792" w:leader="none"/>
              </w:tabs>
              <w:overflowPunct w:val="false"/>
              <w:snapToGrid w:val="false"/>
              <w:spacing w:lineRule="auto" w:line="216" w:before="0" w:after="0"/>
              <w:ind w:firstLine="31" w:end="0"/>
              <w:jc w:val="center"/>
              <w:textAlignment w:val="baseline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6"/>
                <w:szCs w:val="16"/>
              </w:rPr>
            </w:r>
          </w:p>
          <w:p>
            <w:pPr>
              <w:pStyle w:val="Normal"/>
              <w:keepLines/>
              <w:widowControl w:val="false"/>
              <w:tabs>
                <w:tab w:val="clear" w:pos="708"/>
                <w:tab w:val="left" w:pos="29" w:leader="none"/>
                <w:tab w:val="left" w:pos="792" w:leader="none"/>
              </w:tabs>
              <w:overflowPunct w:val="false"/>
              <w:spacing w:lineRule="auto" w:line="216" w:before="0" w:after="0"/>
              <w:ind w:firstLine="29" w:end="0"/>
              <w:jc w:val="center"/>
              <w:textAlignment w:val="baseline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6"/>
                <w:szCs w:val="16"/>
              </w:rPr>
              <w:t>Решение комиссии о допуске или отклонении заявки на участие в закупке</w:t>
            </w:r>
          </w:p>
        </w:tc>
      </w:tr>
      <w:tr>
        <w:trPr>
          <w:trHeight w:val="1273" w:hRule="atLeast"/>
        </w:trPr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120" w:after="120"/>
              <w:ind w:firstLine="709" w:end="0"/>
              <w:jc w:val="center"/>
              <w:outlineLvl w:val="0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8"/>
                <w:szCs w:val="18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0" w:leader="none"/>
                <w:tab w:val="left" w:pos="150" w:leader="none"/>
              </w:tabs>
              <w:spacing w:lineRule="auto" w:line="216" w:before="120" w:after="120"/>
              <w:ind w:firstLine="709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0" w:after="0"/>
              <w:ind w:hanging="138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ind w:start="-113" w:end="0"/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11.12.2025 г.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13 час. 07 мин. (время Московское)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ind w:firstLine="709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0" w:after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Общество с ограниченной ответственностью                         «НИКА СТРОЙ НН»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603138, г. Нижний Новгород,              ул. Строкина, дом 5А, офис 202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ИНН: 5256113161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ind w:firstLine="33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120" w:after="120"/>
              <w:ind w:firstLine="32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32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530 720,00руб.   с НДС 7%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  <w:t>Российская Федерация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  <w:t>Допущено</w:t>
            </w:r>
          </w:p>
        </w:tc>
      </w:tr>
      <w:tr>
        <w:trPr>
          <w:trHeight w:val="670" w:hRule="atLeast"/>
        </w:trPr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120" w:after="120"/>
              <w:ind w:firstLine="709" w:end="-106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709" w:end="-106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0" w:after="0"/>
              <w:ind w:hanging="138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ind w:hanging="138" w:end="0"/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15.12.2025 г.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ind w:hanging="105" w:end="0"/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08 час. 18 мин. (время Московское)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ind w:firstLine="709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0" w:after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ind w:end="-111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Индивидуальный предприниматель                           Мякинин Павел Дмитриевич                     603083, г. Нижний Новгород, Южное шоссе, дом 41, кв./оф.  87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ИНН: 525610524586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0" w:after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120" w:after="120"/>
              <w:ind w:firstLine="32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32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  <w:t>582 080 руб. (НДС  не облагается)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  <w:t>Российская Федерация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16" w:before="120" w:after="120"/>
              <w:ind w:firstLine="31" w:end="0"/>
              <w:jc w:val="center"/>
              <w:outlineLvl w:val="0"/>
              <w:rPr>
                <w:rFonts w:ascii="Times New Roman" w:hAnsi="Times New Roman" w:cs="Times New Roman"/>
                <w:sz w:val="18"/>
                <w:szCs w:val="18"/>
                <w:shd w:fill="FFFFFF" w:val="clear"/>
                <w:lang w:eastAsia="ru-RU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shd w:fill="FFFFFF" w:val="clear"/>
                <w:lang w:eastAsia="ru-RU"/>
              </w:rPr>
              <w:t>Допущено</w:t>
            </w:r>
          </w:p>
        </w:tc>
      </w:tr>
    </w:tbl>
    <w:p>
      <w:pPr>
        <w:pStyle w:val="Normal"/>
        <w:keepNext w:val="true"/>
        <w:spacing w:lineRule="auto" w:line="216" w:before="0" w:after="0"/>
        <w:ind w:firstLine="709" w:end="0"/>
        <w:jc w:val="both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lang w:eastAsia="ru-RU"/>
        </w:rPr>
      </w:r>
      <w:bookmarkStart w:id="2" w:name="_Hlk172019240"/>
      <w:bookmarkStart w:id="3" w:name="_Hlk172019240"/>
      <w:bookmarkEnd w:id="3"/>
    </w:p>
    <w:p>
      <w:pPr>
        <w:pStyle w:val="Normal"/>
        <w:spacing w:lineRule="auto" w:line="240" w:before="0" w:after="0"/>
        <w:ind w:firstLine="709" w:end="0"/>
        <w:jc w:val="both"/>
        <w:rPr/>
      </w:pPr>
      <w:r>
        <w:rPr>
          <w:rFonts w:cs="Times New Roman" w:ascii="Times New Roman" w:hAnsi="Times New Roman"/>
          <w:b/>
          <w:sz w:val="24"/>
          <w:szCs w:val="24"/>
          <w:lang w:eastAsia="ru-RU"/>
        </w:rPr>
        <w:t>6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. Комиссия единогласно решила: </w:t>
      </w:r>
    </w:p>
    <w:p>
      <w:pPr>
        <w:pStyle w:val="Normal"/>
        <w:spacing w:lineRule="auto" w:line="240" w:before="0" w:after="0"/>
        <w:ind w:firstLine="709" w:end="0"/>
        <w:jc w:val="both"/>
        <w:rPr/>
      </w:pPr>
      <w:r>
        <w:rPr>
          <w:rFonts w:cs="Times New Roman" w:ascii="Times New Roman" w:hAnsi="Times New Roman"/>
          <w:b/>
          <w:sz w:val="24"/>
          <w:szCs w:val="24"/>
          <w:lang w:eastAsia="ru-RU"/>
        </w:rPr>
        <w:t>6.1.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Заявки всех участников допущены к участию в закупке. </w:t>
      </w:r>
    </w:p>
    <w:p>
      <w:pPr>
        <w:pStyle w:val="Normal"/>
        <w:keepNext w:val="true"/>
        <w:spacing w:lineRule="auto" w:line="240" w:before="0" w:after="0"/>
        <w:ind w:firstLine="709" w:end="0"/>
        <w:jc w:val="both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lang w:eastAsia="ru-RU"/>
        </w:rPr>
        <w:t xml:space="preserve">6.2. 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Провести процедуру 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>переторжки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путем снижения допущенными участниками закупки цены своих первоначально поданных заявок. </w:t>
      </w:r>
    </w:p>
    <w:p>
      <w:pPr>
        <w:pStyle w:val="Normal"/>
        <w:keepNext w:val="true"/>
        <w:spacing w:lineRule="auto" w:line="216" w:before="0" w:after="0"/>
        <w:ind w:firstLine="709" w:end="0"/>
        <w:jc w:val="both"/>
        <w:rPr>
          <w:rFonts w:ascii="Times New Roman" w:hAnsi="Times New Roman" w:cs="Times New Roman"/>
          <w:b/>
          <w:lang w:eastAsia="ru-RU"/>
        </w:rPr>
      </w:pPr>
      <w:r>
        <w:rPr>
          <w:rFonts w:cs="Times New Roman" w:ascii="Times New Roman" w:hAnsi="Times New Roman"/>
          <w:lang w:eastAsia="ru-RU"/>
        </w:rPr>
        <w:t xml:space="preserve">Вид переторжки: переторжка проводится на электронной торговой площадке Группа Газпромбанка, по адресу в сети Интернет: </w:t>
      </w:r>
      <w:hyperlink r:id="rId4">
        <w:r>
          <w:rPr>
            <w:rStyle w:val="Hyperlink"/>
            <w:rFonts w:cs="Times New Roman" w:ascii="Times New Roman" w:hAnsi="Times New Roman"/>
            <w:color w:val="0000FF"/>
            <w:u w:val="single"/>
            <w:shd w:fill="FFFFFF" w:val="clear"/>
          </w:rPr>
          <w:t>http://etp.gpb.ru</w:t>
        </w:r>
      </w:hyperlink>
      <w:r>
        <w:rPr>
          <w:rFonts w:cs="Times New Roman" w:ascii="Times New Roman" w:hAnsi="Times New Roman"/>
          <w:color w:val="222222"/>
          <w:shd w:fill="FFFFFF" w:val="clear"/>
        </w:rPr>
        <w:t xml:space="preserve"> .</w:t>
      </w:r>
    </w:p>
    <w:p>
      <w:pPr>
        <w:pStyle w:val="Normal"/>
        <w:keepNext w:val="true"/>
        <w:spacing w:lineRule="auto" w:line="216" w:before="0" w:after="0"/>
        <w:ind w:firstLine="709" w:end="0"/>
        <w:jc w:val="both"/>
        <w:rPr>
          <w:rFonts w:ascii="Times New Roman" w:hAnsi="Times New Roman" w:cs="Times New Roman"/>
          <w:b/>
          <w:lang w:eastAsia="ru-RU"/>
        </w:rPr>
      </w:pPr>
      <w:r>
        <w:rPr>
          <w:rFonts w:cs="Times New Roman" w:ascii="Times New Roman" w:hAnsi="Times New Roman"/>
          <w:b/>
          <w:lang w:eastAsia="ru-RU"/>
        </w:rPr>
        <w:t xml:space="preserve">Срок проведения переторжки – 17.12.2025 г., </w:t>
      </w:r>
      <w:r>
        <w:rPr>
          <w:rFonts w:cs="Times New Roman" w:ascii="Times New Roman" w:hAnsi="Times New Roman"/>
          <w:b/>
        </w:rPr>
        <w:t>с 08 часов 30 минут до 10 часов 30 минут (московское время)</w:t>
      </w:r>
      <w:r>
        <w:rPr>
          <w:rFonts w:cs="Times New Roman" w:ascii="Times New Roman" w:hAnsi="Times New Roman"/>
          <w:b/>
          <w:lang w:eastAsia="ru-RU"/>
        </w:rPr>
        <w:t>.</w:t>
      </w:r>
    </w:p>
    <w:p>
      <w:pPr>
        <w:pStyle w:val="Normal"/>
        <w:keepNext w:val="true"/>
        <w:spacing w:lineRule="auto" w:line="216" w:before="0" w:after="0"/>
        <w:ind w:firstLine="709" w:end="0"/>
        <w:jc w:val="both"/>
        <w:rPr>
          <w:rFonts w:ascii="Times New Roman" w:hAnsi="Times New Roman" w:cs="Times New Roman"/>
          <w:b/>
          <w:lang w:eastAsia="ru-RU"/>
        </w:rPr>
      </w:pPr>
      <w:r>
        <w:rPr>
          <w:rFonts w:cs="Times New Roman" w:ascii="Times New Roman" w:hAnsi="Times New Roman"/>
          <w:b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88" w:before="0" w:after="0"/>
        <w:ind w:firstLine="709" w:end="0"/>
        <w:jc w:val="both"/>
        <w:outlineLvl w:val="2"/>
        <w:rPr>
          <w:rFonts w:ascii="Times New Roman" w:hAnsi="Times New Roman" w:cs="Times New Roman"/>
          <w:lang w:eastAsia="ru-RU"/>
        </w:rPr>
      </w:pPr>
      <w:r>
        <w:rPr>
          <w:rFonts w:cs="Times New Roman" w:ascii="Times New Roman" w:hAnsi="Times New Roman"/>
          <w:b/>
          <w:bCs/>
          <w:lang w:eastAsia="ru-RU"/>
        </w:rPr>
        <w:t>7. Публикация протокола: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cs="Times New Roman"/>
          <w:shd w:fill="FFFFFF" w:val="clear"/>
        </w:rPr>
      </w:pPr>
      <w:r>
        <w:rPr>
          <w:rFonts w:cs="Times New Roman" w:ascii="Times New Roman" w:hAnsi="Times New Roman"/>
          <w:lang w:eastAsia="ru-RU"/>
        </w:rPr>
        <w:t xml:space="preserve">             </w:t>
      </w:r>
      <w:r>
        <w:rPr>
          <w:rFonts w:cs="Times New Roman" w:ascii="Times New Roman" w:hAnsi="Times New Roman"/>
          <w:lang w:eastAsia="ru-RU"/>
        </w:rPr>
        <w:t xml:space="preserve">Настоящий протокол подлежит размещению на официальном сайте Единой информационной системы в сфере закупок в сети Интернет по адресу: </w:t>
      </w:r>
      <w:hyperlink r:id="rId5">
        <w:r>
          <w:rPr>
            <w:rStyle w:val="Hyperlink"/>
            <w:rFonts w:cs="Times New Roman" w:ascii="Times New Roman" w:hAnsi="Times New Roman"/>
            <w:color w:val="0000FF"/>
            <w:u w:val="single"/>
            <w:lang w:eastAsia="ru-RU"/>
          </w:rPr>
          <w:t>www.zakupki.gov.ru</w:t>
        </w:r>
      </w:hyperlink>
      <w:r>
        <w:rPr>
          <w:rFonts w:cs="Times New Roman" w:ascii="Times New Roman" w:hAnsi="Times New Roman"/>
          <w:lang w:eastAsia="ru-RU"/>
        </w:rPr>
        <w:t xml:space="preserve"> и на сайте электронной торговой площадке Группа Газпромбанка, по адресу в сети Интернет: </w:t>
      </w:r>
      <w:hyperlink r:id="rId6">
        <w:r>
          <w:rPr>
            <w:rStyle w:val="Hyperlink"/>
            <w:rFonts w:cs="Times New Roman" w:ascii="Times New Roman" w:hAnsi="Times New Roman"/>
            <w:color w:val="0000FF"/>
            <w:u w:val="single"/>
            <w:shd w:fill="FFFFFF" w:val="clear"/>
          </w:rPr>
          <w:t>http://etp.gpb.ru</w:t>
        </w:r>
      </w:hyperlink>
      <w:r>
        <w:rPr>
          <w:rFonts w:cs="Times New Roman" w:ascii="Times New Roman" w:hAnsi="Times New Roman"/>
          <w:shd w:fill="FFFFFF" w:val="clear"/>
        </w:rPr>
        <w:t>.</w:t>
      </w:r>
    </w:p>
    <w:p>
      <w:pPr>
        <w:pStyle w:val="Normal"/>
        <w:spacing w:lineRule="auto" w:line="288" w:before="0" w:after="0"/>
        <w:jc w:val="both"/>
        <w:rPr>
          <w:rFonts w:ascii="Times New Roman" w:hAnsi="Times New Roman" w:cs="Times New Roman"/>
          <w:b/>
          <w:shd w:fill="FFFFFF" w:val="clear"/>
          <w:lang w:eastAsia="ru-RU"/>
        </w:rPr>
      </w:pPr>
      <w:r>
        <w:rPr>
          <w:rFonts w:cs="Times New Roman" w:ascii="Times New Roman" w:hAnsi="Times New Roman"/>
          <w:b/>
          <w:shd w:fill="FFFFFF" w:val="clear"/>
          <w:lang w:eastAsia="ru-RU"/>
        </w:rPr>
      </w:r>
    </w:p>
    <w:p>
      <w:pPr>
        <w:pStyle w:val="Normal"/>
        <w:spacing w:lineRule="auto" w:line="288" w:before="0" w:after="0"/>
        <w:jc w:val="both"/>
        <w:rPr/>
      </w:pPr>
      <w:bookmarkStart w:id="4" w:name="_Hlk172019240"/>
      <w:bookmarkEnd w:id="4"/>
      <w:r>
        <w:rPr/>
        <w:t>Результаты голосования:</w:t>
      </w:r>
    </w:p>
    <w:tbl>
      <w:tblPr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46"/>
        <w:gridCol w:w="2343"/>
        <w:gridCol w:w="2334"/>
        <w:gridCol w:w="2322"/>
      </w:tblGrid>
      <w:tr>
        <w:trPr/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Статус члена комиссии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ФИО</w:t>
            </w:r>
          </w:p>
        </w:tc>
        <w:tc>
          <w:tcPr>
            <w:tcW w:w="2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Резолюция</w:t>
            </w:r>
          </w:p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(за/против)</w:t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Подпись</w:t>
            </w:r>
          </w:p>
        </w:tc>
      </w:tr>
      <w:tr>
        <w:trPr>
          <w:trHeight w:val="395" w:hRule="atLeast"/>
        </w:trPr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Председатель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bCs/>
                <w:lang w:eastAsia="ru-RU"/>
              </w:rPr>
              <w:t>Д.А. Недоростков</w:t>
            </w:r>
          </w:p>
        </w:tc>
        <w:tc>
          <w:tcPr>
            <w:tcW w:w="2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</w:tr>
      <w:tr>
        <w:trPr>
          <w:trHeight w:val="449" w:hRule="atLeast"/>
        </w:trPr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Секретарь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А.Ф. Парамонова</w:t>
            </w:r>
          </w:p>
        </w:tc>
        <w:tc>
          <w:tcPr>
            <w:tcW w:w="2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</w:tr>
      <w:tr>
        <w:trPr>
          <w:trHeight w:val="377" w:hRule="atLeast"/>
        </w:trPr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Члены комиссии</w:t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С.М. Пронин</w:t>
            </w:r>
          </w:p>
        </w:tc>
        <w:tc>
          <w:tcPr>
            <w:tcW w:w="2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</w:tr>
      <w:tr>
        <w:trPr>
          <w:trHeight w:val="410" w:hRule="atLeast"/>
        </w:trPr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Л.Ю. Маркова</w:t>
            </w:r>
          </w:p>
        </w:tc>
        <w:tc>
          <w:tcPr>
            <w:tcW w:w="2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</w:tr>
      <w:tr>
        <w:trPr>
          <w:trHeight w:val="410" w:hRule="atLeast"/>
        </w:trPr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 xml:space="preserve">Е.А. Коршунова </w:t>
            </w:r>
          </w:p>
        </w:tc>
        <w:tc>
          <w:tcPr>
            <w:tcW w:w="2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</w:tr>
      <w:tr>
        <w:trPr>
          <w:trHeight w:val="410" w:hRule="atLeast"/>
        </w:trPr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Т.В. Маркова</w:t>
            </w:r>
          </w:p>
        </w:tc>
        <w:tc>
          <w:tcPr>
            <w:tcW w:w="2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</w:tr>
      <w:tr>
        <w:trPr>
          <w:trHeight w:val="410" w:hRule="atLeast"/>
        </w:trPr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  <w:t>А.Б. Белодворцев</w:t>
            </w:r>
          </w:p>
        </w:tc>
        <w:tc>
          <w:tcPr>
            <w:tcW w:w="2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2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88" w:before="0" w:after="0"/>
              <w:jc w:val="both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88" w:before="0" w:after="0"/>
        <w:jc w:val="both"/>
        <w:outlineLvl w:val="2"/>
        <w:rPr/>
      </w:pPr>
      <w:r>
        <w:rPr>
          <w:rFonts w:cs="Times New Roman" w:ascii="Times New Roman" w:hAnsi="Times New Roman"/>
          <w:lang w:eastAsia="ru-RU"/>
        </w:rPr>
        <w:t xml:space="preserve"> </w:t>
      </w:r>
      <w:r>
        <w:rPr>
          <w:rFonts w:cs="Times New Roman" w:ascii="Times New Roman" w:hAnsi="Times New Roman"/>
          <w:lang w:eastAsia="ru-RU"/>
        </w:rPr>
        <w:t>«За» ___   членов комиссии «Против» ____ членов комиссии «Воздержалось»  ___</w:t>
      </w:r>
      <w:r>
        <w:rPr>
          <w:rFonts w:cs="Times New Roman" w:ascii="Times New Roman" w:hAnsi="Times New Roman"/>
          <w:sz w:val="20"/>
          <w:szCs w:val="20"/>
          <w:lang w:eastAsia="ru-RU"/>
        </w:rPr>
        <w:t xml:space="preserve"> членов комиссии</w:t>
      </w:r>
    </w:p>
    <w:sectPr>
      <w:type w:val="nextPage"/>
      <w:pgSz w:w="11906" w:h="16838"/>
      <w:pgMar w:left="1701" w:right="850" w:gutter="0" w:header="0" w:top="36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Cambria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8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cs="Times New Roman"/>
    </w:rPr>
  </w:style>
  <w:style w:type="character" w:styleId="WW8Num3z1">
    <w:name w:val="WW8Num3z1"/>
    <w:qFormat/>
    <w:rPr>
      <w:rFonts w:cs="Times New Roman"/>
      <w:color w:val="000000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Times New Roman" w:hAnsi="Times New Roman" w:eastAsia="Calibri" w:cs="Times New Roman"/>
    </w:rPr>
  </w:style>
  <w:style w:type="character" w:styleId="WW8Num6z0">
    <w:name w:val="WW8Num6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Wingdings" w:hAnsi="Wingdings" w:cs="Wingdings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>
      <w:rFonts w:cs="Times New Roman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b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b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b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4z1">
    <w:name w:val="WW8Num24z1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6z2">
    <w:name w:val="WW8Num26z2"/>
    <w:qFormat/>
    <w:rPr>
      <w:rFonts w:ascii="Times New Roman" w:hAnsi="Times New Roman" w:cs="Times New Roman"/>
      <w:b w:val="false"/>
      <w:sz w:val="24"/>
      <w:szCs w:val="24"/>
    </w:rPr>
  </w:style>
  <w:style w:type="character" w:styleId="Style12">
    <w:name w:val="Основной шрифт абзаца"/>
    <w:qFormat/>
    <w:rPr/>
  </w:style>
  <w:style w:type="character" w:styleId="2">
    <w:name w:val="Заголовок 2 Знак"/>
    <w:qFormat/>
    <w:rPr>
      <w:rFonts w:ascii="Cambria" w:hAnsi="Cambria" w:cs="Times New Roman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yle13">
    <w:name w:val="Основной текст с отступом Знак"/>
    <w:qFormat/>
    <w:rPr>
      <w:rFonts w:cs="Times New Roman"/>
      <w:sz w:val="22"/>
      <w:szCs w:val="22"/>
    </w:rPr>
  </w:style>
  <w:style w:type="character" w:styleId="21">
    <w:name w:val="Основной текст 2 Знак"/>
    <w:qFormat/>
    <w:rPr>
      <w:rFonts w:cs="Times New Roman"/>
    </w:rPr>
  </w:style>
  <w:style w:type="character" w:styleId="Style14">
    <w:name w:val="Текст выноски Знак"/>
    <w:qFormat/>
    <w:rPr>
      <w:rFonts w:ascii="Times New Roman" w:hAnsi="Times New Roman" w:cs="Times New Roman"/>
      <w:sz w:val="2"/>
    </w:rPr>
  </w:style>
  <w:style w:type="character" w:styleId="Style15">
    <w:name w:val="Абзац списка Знак"/>
    <w:qFormat/>
    <w:rPr>
      <w:rFonts w:ascii="Times New Roman" w:hAnsi="Times New Roman" w:cs="Times New Roman"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ConsPlusNormal">
    <w:name w:val="ConsPlusNormal Знак"/>
    <w:qFormat/>
    <w:rPr>
      <w:rFonts w:ascii="Arial" w:hAnsi="Arial" w:cs="Arial"/>
      <w:sz w:val="20"/>
      <w:szCs w:val="20"/>
    </w:rPr>
  </w:style>
  <w:style w:type="character" w:styleId="Style16">
    <w:name w:val="Основной текст + Полужирный"/>
    <w:qFormat/>
    <w:rPr>
      <w:b/>
      <w:bCs/>
      <w:sz w:val="28"/>
      <w:szCs w:val="28"/>
    </w:rPr>
  </w:style>
  <w:style w:type="character" w:styleId="Style17">
    <w:name w:val="Основной текст Знак"/>
    <w:qFormat/>
    <w:rPr/>
  </w:style>
  <w:style w:type="character" w:styleId="Style18">
    <w:name w:val="Текст Знак"/>
    <w:qFormat/>
    <w:rPr>
      <w:rFonts w:eastAsia="Calibri"/>
      <w:sz w:val="22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1">
    <w:name w:val="title1"/>
    <w:basedOn w:val="Normal"/>
    <w:qFormat/>
    <w:pPr>
      <w:spacing w:lineRule="auto" w:line="240" w:before="280" w:after="280"/>
    </w:pPr>
    <w:rPr>
      <w:rFonts w:ascii="Times New Roman" w:hAnsi="Times New Roman" w:cs="Times New Roman"/>
      <w:i/>
      <w:iCs/>
      <w:sz w:val="24"/>
      <w:szCs w:val="24"/>
    </w:rPr>
  </w:style>
  <w:style w:type="paragraph" w:styleId="offset251">
    <w:name w:val="offset251"/>
    <w:basedOn w:val="Normal"/>
    <w:qFormat/>
    <w:pPr>
      <w:spacing w:lineRule="auto" w:line="240" w:before="280" w:after="280"/>
      <w:ind w:hanging="0" w:start="375" w:end="0"/>
    </w:pPr>
    <w:rPr>
      <w:rFonts w:ascii="Times New Roman" w:hAnsi="Times New Roman" w:cs="Times New Roman"/>
      <w:sz w:val="24"/>
      <w:szCs w:val="24"/>
    </w:rPr>
  </w:style>
  <w:style w:type="paragraph" w:styleId="Style19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pPr>
      <w:spacing w:lineRule="auto" w:line="240" w:before="0" w:after="0"/>
      <w:ind w:hanging="0" w:start="5529" w:end="0"/>
      <w:jc w:val="center"/>
    </w:pPr>
    <w:rPr>
      <w:rFonts w:ascii="Times New Roman" w:hAnsi="Times New Roman" w:cs="Times New Roman"/>
      <w:sz w:val="20"/>
      <w:szCs w:val="20"/>
    </w:rPr>
  </w:style>
  <w:style w:type="paragraph" w:styleId="BodyText21">
    <w:name w:val="Body Text 21"/>
    <w:basedOn w:val="Normal"/>
    <w:qFormat/>
    <w:pPr>
      <w:spacing w:lineRule="auto" w:line="240" w:before="0" w:after="0"/>
      <w:ind w:firstLine="567" w:start="0" w:end="0"/>
      <w:jc w:val="both"/>
    </w:pPr>
    <w:rPr>
      <w:rFonts w:ascii="Times New Roman" w:hAnsi="Times New Roman" w:cs="Times New Roman"/>
      <w:sz w:val="24"/>
      <w:szCs w:val="20"/>
    </w:rPr>
  </w:style>
  <w:style w:type="paragraph" w:styleId="Style20">
    <w:name w:val="Название объекта"/>
    <w:basedOn w:val="Normal"/>
    <w:qFormat/>
    <w:pPr>
      <w:spacing w:lineRule="auto" w:line="240" w:before="0" w:after="0"/>
      <w:jc w:val="center"/>
    </w:pPr>
    <w:rPr>
      <w:rFonts w:ascii="Times New Roman" w:hAnsi="Times New Roman" w:cs="Times New Roman"/>
      <w:b/>
      <w:smallCaps/>
      <w:sz w:val="32"/>
      <w:szCs w:val="20"/>
    </w:rPr>
  </w:style>
  <w:style w:type="paragraph" w:styleId="Iauiue">
    <w:name w:val="Iau?iue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22">
    <w:name w:val="Основной текст 2"/>
    <w:basedOn w:val="Normal"/>
    <w:qFormat/>
    <w:pPr>
      <w:spacing w:lineRule="auto" w:line="240" w:before="0" w:after="0"/>
      <w:ind w:firstLine="567" w:start="0" w:end="0"/>
      <w:jc w:val="both"/>
    </w:pPr>
    <w:rPr>
      <w:rFonts w:ascii="Times New Roman" w:hAnsi="Times New Roman" w:cs="Times New Roman"/>
      <w:sz w:val="24"/>
      <w:szCs w:val="20"/>
    </w:rPr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2">
    <w:name w:val="Абзац списка"/>
    <w:basedOn w:val="Normal"/>
    <w:qFormat/>
    <w:pPr>
      <w:spacing w:lineRule="auto" w:line="288" w:before="0" w:after="0"/>
      <w:ind w:firstLine="567" w:start="708" w:end="0"/>
      <w:jc w:val="both"/>
    </w:pPr>
    <w:rPr>
      <w:rFonts w:ascii="Times New Roman" w:hAnsi="Times New Roman" w:cs="Times New Roman"/>
      <w:sz w:val="28"/>
      <w:szCs w:val="28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yle23">
    <w:name w:val="Текст"/>
    <w:basedOn w:val="Normal"/>
    <w:qFormat/>
    <w:pPr>
      <w:spacing w:lineRule="auto" w:line="240" w:before="0" w:after="0"/>
    </w:pPr>
    <w:rPr>
      <w:rFonts w:eastAsia="Calibri" w:cs="Times New Roman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hyperlink" Target="http://etp.gpb.ru/" TargetMode="External"/><Relationship Id="rId4" Type="http://schemas.openxmlformats.org/officeDocument/2006/relationships/hyperlink" Target="http://etp.gpb.ru/" TargetMode="External"/><Relationship Id="rId5" Type="http://schemas.openxmlformats.org/officeDocument/2006/relationships/hyperlink" Target="http://www.zakupki.gov.ru/" TargetMode="External"/><Relationship Id="rId6" Type="http://schemas.openxmlformats.org/officeDocument/2006/relationships/hyperlink" Target="http://etp.gpb.ru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2025-12-15T10:59:00Z</dcterms:created>
  <dc:creator>Admin</dc:creator>
  <dc:description/>
  <cp:keywords/>
  <dc:language>en-US</dc:language>
  <cp:lastModifiedBy>Парамонова Анна Федоровна</cp:lastModifiedBy>
  <cp:lastPrinted>2025-12-15T14:39:00Z</cp:lastPrinted>
  <dcterms:modified xsi:type="dcterms:W3CDTF">2025-12-15T11:50:00Z</dcterms:modified>
  <cp:revision>8</cp:revision>
  <dc:subject/>
  <dc:title>Протокол №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Документ</vt:lpwstr>
  </property>
  <property fmtid="{D5CDD505-2E9C-101B-9397-08002B2CF9AE}" pid="3" name="Описание">
    <vt:lpwstr>Протокол № 1 вскрытия конвертов с заявками на участие в запросе котировок (на поставку каменного угля) </vt:lpwstr>
  </property>
</Properties>
</file>