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Протокол №РМР/5662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очно-заочного заседания Постоянно действующей конкурсной комиссии (далее - Комиссия)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-306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по подведению итогов закупки</w:t>
      </w:r>
    </w:p>
    <w:p>
      <w:pPr>
        <w:pStyle w:val="Normal"/>
        <w:widowControl w:val="false"/>
        <w:suppressAutoHyphens w:val="true"/>
        <w:spacing w:lineRule="auto" w:line="240" w:before="0" w:after="120"/>
        <w:ind w:hanging="0" w:start="-142" w:end="-306"/>
        <w:jc w:val="center"/>
        <w:rPr>
          <w:b/>
          <w:sz w:val="23"/>
          <w:szCs w:val="23"/>
        </w:rPr>
      </w:pPr>
      <w:r>
        <w:rPr>
          <w:b/>
          <w:bCs/>
          <w:kern w:val="2"/>
          <w:sz w:val="23"/>
          <w:szCs w:val="23"/>
        </w:rPr>
        <w:t>(ЕИС</w:t>
      </w:r>
      <w:r>
        <w:rPr>
          <w:b/>
          <w:sz w:val="23"/>
          <w:szCs w:val="23"/>
        </w:rPr>
        <w:t xml:space="preserve"> № </w:t>
      </w:r>
      <w:r>
        <w:rPr>
          <w:b/>
          <w:kern w:val="2"/>
          <w:sz w:val="23"/>
          <w:szCs w:val="23"/>
        </w:rPr>
        <w:t>32515481731</w:t>
      </w:r>
      <w:r>
        <w:rPr>
          <w:b/>
          <w:sz w:val="23"/>
          <w:szCs w:val="23"/>
        </w:rPr>
        <w:t>)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 w:end="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hanging="0" w:end="0"/>
              <w:jc w:val="center"/>
              <w:rPr/>
            </w:pPr>
            <w:r>
              <w:rPr>
                <w:szCs w:val="24"/>
              </w:rPr>
              <w:t>г. Москва, 2-й Павелецкий проезд, д.3, стр.2, Департамент организации конкурсных процедур ПАО «</w:t>
            </w:r>
            <w:r>
              <w:rPr>
                <w:bCs/>
                <w:szCs w:val="24"/>
              </w:rPr>
              <w:t>Россети Московский регион</w:t>
            </w:r>
            <w:r>
              <w:rPr>
                <w:szCs w:val="24"/>
              </w:rPr>
              <w:t>»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11.12.20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/>
            </w:pPr>
            <w:r>
              <w:rPr>
                <w:b/>
                <w:bCs/>
                <w:szCs w:val="24"/>
              </w:rPr>
              <w:t>12.12.20</w:t>
            </w:r>
            <w:r>
              <w:rPr>
                <w:b/>
                <w:bCs/>
                <w:szCs w:val="24"/>
                <w:lang w:val="en-US"/>
              </w:rPr>
              <w:t>2</w:t>
            </w:r>
            <w:r>
              <w:rPr>
                <w:b/>
                <w:bCs/>
                <w:szCs w:val="24"/>
              </w:rPr>
              <w:t>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Настоящий запрос цен по результатам предварительного отбора в электронной форме (далее – закупка) проводится с использованием функционала электронной торговой площадки АО «Российский </w:t>
      </w:r>
      <w:r>
        <w:rPr>
          <w:rFonts w:cs="Times New Roman" w:ascii="Times New Roman" w:hAnsi="Times New Roman"/>
          <w:b w:val="false"/>
          <w:sz w:val="24"/>
          <w:szCs w:val="24"/>
        </w:rPr>
        <w:t>аукционный дом</w:t>
      </w:r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>» (</w:t>
      </w:r>
      <w:hyperlink r:id="rId2"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www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tender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lot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-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  <w:lang w:val="en-US"/>
          </w:rPr>
          <w:t>online</w:t>
        </w:r>
        <w:r>
          <w:rPr>
            <w:rStyle w:val="Hyperlink"/>
            <w:rFonts w:cs="Times New Roman" w:ascii="Times New Roman" w:hAnsi="Times New Roman"/>
            <w:b/>
            <w:sz w:val="24"/>
            <w:szCs w:val="24"/>
          </w:rPr>
          <w:t>.ru</w:t>
        </w:r>
      </w:hyperlink>
      <w:r>
        <w:rPr>
          <w:rFonts w:cs="Times New Roman" w:ascii="Times New Roman" w:hAnsi="Times New Roman"/>
          <w:b w:val="false"/>
          <w:bCs w:val="false"/>
          <w:kern w:val="0"/>
          <w:sz w:val="24"/>
          <w:szCs w:val="24"/>
        </w:rPr>
        <w:t xml:space="preserve">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 w:cs="Times New Roman"/>
          <w:b w:val="false"/>
          <w:bCs w:val="false"/>
          <w:kern w:val="0"/>
          <w:sz w:val="23"/>
          <w:szCs w:val="23"/>
        </w:rPr>
      </w:pPr>
      <w:r>
        <w:rPr>
          <w:rFonts w:cs="Times New Roman"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  <w:lang w:val="en-US"/>
        </w:rPr>
      </w:pPr>
      <w:r>
        <w:rPr>
          <w:rFonts w:cs="Times New Roman"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Предмет закупки</w:t>
      </w:r>
      <w:r>
        <w:rPr>
          <w:sz w:val="24"/>
          <w:szCs w:val="24"/>
        </w:rPr>
        <w:t xml:space="preserve">: </w:t>
      </w:r>
      <w:r>
        <w:rPr>
          <w:iCs/>
          <w:sz w:val="24"/>
          <w:szCs w:val="24"/>
        </w:rPr>
        <w:t xml:space="preserve">определение подрядчика </w:t>
      </w:r>
      <w:r>
        <w:rPr>
          <w:bCs/>
          <w:sz w:val="24"/>
          <w:szCs w:val="24"/>
        </w:rPr>
        <w:t xml:space="preserve">на выполнение </w:t>
      </w:r>
      <w:r>
        <w:rPr>
          <w:sz w:val="24"/>
          <w:szCs w:val="24"/>
        </w:rPr>
        <w:t xml:space="preserve">ПИР по титулу: Реконструкция ТП-10/0,4кВ № 18951с установкой тр-ов 2х1250кВА, со строительством 2КЛ-10кВ от ТП-10/0,4кВ № 18951 до РТП-10/0,4кВ № 18090, 2КЛ-10кВ от ТП-10/0,4кВ № 11753 до РТП-10/0,4кВ № 19029, 2КЛ-10кВ от ТП-10/0,4кВ № 18952 до РТП-10/0,4кВ № 28044, с перезаводом существующих КЛ-10кВ и КЛ-0,4кВ на время реконструкции ТП-10/0,4кВ № 18951, в т.ч. ПИР: г.Москва, Успенский пер., д.5, стр.1 для нужд МКС </w:t>
      </w:r>
      <w:r>
        <w:rPr>
          <w:bCs/>
          <w:sz w:val="24"/>
          <w:szCs w:val="24"/>
        </w:rPr>
        <w:t>– филиала ПАО</w:t>
      </w:r>
      <w:r>
        <w:rPr>
          <w:bCs/>
          <w:sz w:val="24"/>
          <w:szCs w:val="24"/>
          <w:lang w:val="en-US"/>
        </w:rPr>
        <w:t> </w:t>
      </w:r>
      <w:r>
        <w:rPr>
          <w:bCs/>
          <w:sz w:val="24"/>
          <w:szCs w:val="24"/>
        </w:rPr>
        <w:t>«Россети Московский регион».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rFonts w:eastAsia="Calibri"/>
          <w:sz w:val="24"/>
          <w:szCs w:val="24"/>
        </w:rPr>
      </w:pPr>
      <w:r>
        <w:rPr>
          <w:sz w:val="24"/>
          <w:szCs w:val="24"/>
          <w:u w:val="single"/>
        </w:rPr>
        <w:t>Основание для проведения закупки</w:t>
      </w:r>
      <w:r>
        <w:rPr>
          <w:sz w:val="24"/>
          <w:szCs w:val="24"/>
        </w:rPr>
        <w:t>: Распоряжение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 от 04.03.2025 №269</w:t>
      </w:r>
      <w:r>
        <w:rPr>
          <w:bCs/>
          <w:iCs/>
          <w:sz w:val="24"/>
          <w:szCs w:val="24"/>
        </w:rPr>
        <w:t>р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180"/>
        <w:ind w:start="0" w:hanging="0" w:end="0"/>
        <w:outlineLvl w:val="1"/>
        <w:rPr>
          <w:sz w:val="24"/>
          <w:szCs w:val="24"/>
        </w:rPr>
      </w:pPr>
      <w:r>
        <w:rPr>
          <w:sz w:val="24"/>
          <w:szCs w:val="24"/>
          <w:u w:val="single"/>
        </w:rPr>
        <w:t>Ограничение участия только субъектов малого и среднего предпринимательства</w:t>
      </w:r>
      <w:r>
        <w:rPr>
          <w:sz w:val="24"/>
          <w:szCs w:val="24"/>
        </w:rPr>
        <w:t>: не установлено.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8"/>
        <w:gridCol w:w="5245"/>
      </w:tblGrid>
      <w:tr>
        <w:trPr>
          <w:trHeight w:val="62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Начальная цена закупки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ind w:hanging="0" w:end="0"/>
              <w:jc w:val="center"/>
              <w:rPr>
                <w:b/>
                <w:szCs w:val="24"/>
              </w:rPr>
            </w:pPr>
            <w:r>
              <w:rPr>
                <w:b/>
                <w:bCs/>
                <w:szCs w:val="24"/>
              </w:rPr>
              <w:t>Сроки выполнения работ</w:t>
            </w:r>
          </w:p>
        </w:tc>
      </w:tr>
      <w:tr>
        <w:trPr>
          <w:trHeight w:val="898" w:hRule="atLeast"/>
        </w:trPr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WW-12"/>
              <w:keepNext w:val="true"/>
              <w:widowControl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 w:end="0"/>
              <w:contextualSpacing/>
              <w:jc w:val="center"/>
              <w:rPr/>
            </w:pPr>
            <w:r>
              <w:rPr>
                <w:szCs w:val="24"/>
              </w:rPr>
              <w:t>17 877 297,91 руб., в т.ч. НДС 20%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>
                <w:szCs w:val="28"/>
              </w:rPr>
              <w:t>С даты подписания</w:t>
            </w:r>
            <w:r>
              <w:rPr/>
              <w:t xml:space="preserve"> договора</w:t>
            </w:r>
          </w:p>
          <w:p>
            <w:pPr>
              <w:pStyle w:val="5"/>
              <w:tabs>
                <w:tab w:val="clear" w:pos="709"/>
                <w:tab w:val="left" w:pos="567" w:leader="none"/>
                <w:tab w:val="left" w:pos="900" w:leader="none"/>
              </w:tabs>
              <w:ind w:hanging="0" w:start="-60" w:end="-159"/>
              <w:jc w:val="center"/>
              <w:rPr/>
            </w:pPr>
            <w:r>
              <w:rPr/>
              <w:t>по 22 августа 2026г.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6"/>
          <w:szCs w:val="6"/>
        </w:rPr>
      </w:pPr>
      <w:r>
        <w:rPr>
          <w:rFonts w:cs="Times New Roman" w:ascii="Times New Roman" w:hAnsi="Times New Roman"/>
          <w:sz w:val="6"/>
          <w:szCs w:val="6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/>
      </w:pPr>
      <w:r>
        <w:rPr>
          <w:rFonts w:cs="Times New Roman" w:ascii="Times New Roman" w:hAnsi="Times New Roman"/>
          <w:sz w:val="24"/>
          <w:szCs w:val="24"/>
        </w:rPr>
        <w:t>В очном заседании Комиссии принимали участие:</w:t>
      </w:r>
    </w:p>
    <w:p>
      <w:pPr>
        <w:pStyle w:val="Normal"/>
        <w:keepNext w:val="true"/>
        <w:spacing w:lineRule="auto" w:line="240"/>
        <w:ind w:hanging="0" w:end="0"/>
        <w:rPr/>
      </w:pPr>
      <w:r>
        <w:rPr>
          <w:b/>
          <w:bCs/>
          <w:sz w:val="24"/>
          <w:szCs w:val="24"/>
        </w:rPr>
        <w:t>Заместитель председателя Комиссии: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sz w:val="24"/>
          <w:szCs w:val="24"/>
        </w:rPr>
        <w:t>Старостина Я.О. – Директор департамента организации конкурсных процедур ПАО «Россети Московский регион»;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Члены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bCs/>
          <w:iCs/>
          <w:sz w:val="24"/>
          <w:szCs w:val="24"/>
        </w:rPr>
        <w:t>Богомолов Э.В. – Д</w:t>
      </w:r>
      <w:r>
        <w:rPr>
          <w:sz w:val="24"/>
          <w:szCs w:val="24"/>
        </w:rPr>
        <w:t>иректор департамента производственной безопасности ПАО «Россети Московский регион»</w:t>
      </w:r>
      <w:r>
        <w:rPr>
          <w:bCs/>
          <w:iCs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Попко О.О. – Заместитель директора департамента корпоративных финансов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sz w:val="24"/>
          <w:szCs w:val="24"/>
        </w:rPr>
        <w:t>Голубев Д.В. – Начальник управления мониторинга рынка ТМЦ и расчетов с поставщиками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 xml:space="preserve">Мауль А.В. – Начальник управления </w:t>
      </w:r>
      <w:r>
        <w:rPr>
          <w:bCs/>
          <w:color w:val="000000"/>
          <w:sz w:val="24"/>
          <w:szCs w:val="24"/>
        </w:rPr>
        <w:t xml:space="preserve">нормативного регулирования и сопровождения договорной работы </w:t>
      </w:r>
      <w:r>
        <w:rPr>
          <w:sz w:val="24"/>
          <w:szCs w:val="24"/>
        </w:rPr>
        <w:t>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Муравьев Д.П. – Начальник управления</w:t>
      </w:r>
      <w:r>
        <w:rPr>
          <w:sz w:val="24"/>
          <w:szCs w:val="24"/>
        </w:rPr>
        <w:t xml:space="preserve"> комплектации оборудованием ПАО «Россети Московский регион»;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color w:val="000000"/>
          <w:sz w:val="24"/>
          <w:szCs w:val="24"/>
        </w:rPr>
        <w:t xml:space="preserve">Светличный Д.А. – Начальник управления </w:t>
      </w:r>
      <w:r>
        <w:rPr>
          <w:bCs/>
          <w:iCs/>
          <w:sz w:val="24"/>
          <w:szCs w:val="24"/>
        </w:rPr>
        <w:t>строительного</w:t>
      </w:r>
      <w:r>
        <w:rPr>
          <w:color w:val="000000"/>
          <w:sz w:val="24"/>
          <w:szCs w:val="24"/>
        </w:rPr>
        <w:t xml:space="preserve"> надзора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bCs/>
          <w:iCs/>
          <w:sz w:val="24"/>
          <w:szCs w:val="24"/>
        </w:rPr>
      </w:pPr>
      <w:r>
        <w:rPr>
          <w:color w:val="000000"/>
          <w:sz w:val="24"/>
          <w:szCs w:val="24"/>
        </w:rPr>
        <w:t xml:space="preserve">Зубков П.С. – </w:t>
      </w:r>
      <w:r>
        <w:rPr>
          <w:sz w:val="24"/>
          <w:szCs w:val="24"/>
        </w:rPr>
        <w:t>Главный эксперт контрольно-экспертного управления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</w:t>
      </w:r>
      <w:r>
        <w:rPr>
          <w:color w:val="000000"/>
          <w:sz w:val="24"/>
          <w:szCs w:val="24"/>
        </w:rPr>
        <w:t>;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Кремнёв А.С. – Главный эксперт управления общей правовой работы ПАО «</w:t>
      </w:r>
      <w:r>
        <w:rPr>
          <w:bCs/>
          <w:sz w:val="24"/>
          <w:szCs w:val="24"/>
        </w:rPr>
        <w:t>Россети Московский регион</w:t>
      </w:r>
      <w:r>
        <w:rPr>
          <w:color w:val="000000"/>
          <w:sz w:val="24"/>
          <w:szCs w:val="24"/>
        </w:rPr>
        <w:t>»;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Секретарь Комиссии (с правом голоса): 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 К.В. – Начальник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СЛУШАЛИ: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Гусева К.В. – Начальника управления организации конкурсных закупок ПАО 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Заочное голосование по опросным листам:</w:t>
      </w:r>
    </w:p>
    <w:p>
      <w:pPr>
        <w:pStyle w:val="Normal"/>
        <w:spacing w:lineRule="auto" w:line="240"/>
        <w:ind w:hanging="0" w:end="152"/>
        <w:rPr>
          <w:sz w:val="24"/>
          <w:szCs w:val="24"/>
        </w:rPr>
      </w:pPr>
      <w:r>
        <w:rPr>
          <w:b/>
          <w:bCs/>
          <w:sz w:val="24"/>
          <w:szCs w:val="24"/>
        </w:rPr>
        <w:t>Член Комиссии:</w:t>
      </w:r>
    </w:p>
    <w:p>
      <w:pPr>
        <w:pStyle w:val="Normal"/>
        <w:widowControl w:val="false"/>
        <w:spacing w:lineRule="auto" w:line="240" w:before="0" w:after="0"/>
        <w:ind w:hanging="0" w:end="0"/>
        <w:contextualSpacing/>
        <w:rPr/>
      </w:pPr>
      <w:r>
        <w:rPr>
          <w:sz w:val="24"/>
          <w:szCs w:val="24"/>
        </w:rPr>
        <w:t>Омельяненко А.А. – Начальник управления материально-технического снабжения ПАО «</w:t>
      </w:r>
      <w:r>
        <w:rPr>
          <w:bCs/>
          <w:sz w:val="24"/>
          <w:szCs w:val="24"/>
        </w:rPr>
        <w:t>Россети Московский регион</w:t>
      </w:r>
      <w:r>
        <w:rPr>
          <w:sz w:val="24"/>
          <w:szCs w:val="24"/>
        </w:rPr>
        <w:t>».</w:t>
      </w:r>
    </w:p>
    <w:p>
      <w:pPr>
        <w:pStyle w:val="Normal"/>
        <w:widowControl w:val="fals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В заседании приняли участие 11 из 19 членов Комиссии.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rPr>
          <w:rFonts w:ascii="Times New Roman" w:hAnsi="Times New Roman" w:cs="Times New Roman"/>
          <w:bCs w:val="false"/>
          <w:color w:val="000000"/>
          <w:kern w:val="0"/>
          <w:sz w:val="24"/>
          <w:szCs w:val="24"/>
          <w:lang w:val="en-US"/>
        </w:rPr>
      </w:pPr>
      <w:r>
        <w:rPr>
          <w:rFonts w:cs="Times New Roman" w:ascii="Times New Roman" w:hAnsi="Times New Roman"/>
          <w:bCs w:val="false"/>
          <w:color w:val="000000"/>
          <w:kern w:val="0"/>
          <w:sz w:val="24"/>
          <w:szCs w:val="24"/>
          <w:lang w:val="en-US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bookmarkStart w:id="0" w:name="Комиссия"/>
      <w:bookmarkEnd w:id="0"/>
      <w:r>
        <w:rPr>
          <w:rFonts w:cs="Times New Roman"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18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  <w:t>К установленному сроку подачи заявок не поступило.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 w:cs="Times New Roman"/>
          <w:b w:val="false"/>
          <w:sz w:val="24"/>
          <w:szCs w:val="24"/>
        </w:rPr>
      </w:pPr>
      <w:r>
        <w:rPr>
          <w:rFonts w:cs="Times New Roman"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2"/>
        </w:numPr>
        <w:tabs>
          <w:tab w:val="clear" w:pos="709"/>
          <w:tab w:val="left" w:pos="284" w:leader="none"/>
        </w:tabs>
        <w:spacing w:before="0" w:after="0"/>
        <w:ind w:hanging="0" w:start="0" w:end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 подведении итогов по закупке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284" w:leader="none"/>
        </w:tabs>
        <w:spacing w:before="120" w:after="0"/>
        <w:ind w:hanging="0" w:start="0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РЕШИЛИ:</w:t>
      </w:r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В </w:t>
      </w:r>
      <w:r>
        <w:rPr>
          <w:bCs/>
          <w:sz w:val="24"/>
          <w:szCs w:val="24"/>
        </w:rPr>
        <w:t>связи с тем, что</w:t>
      </w:r>
      <w:r>
        <w:rPr>
          <w:sz w:val="24"/>
          <w:szCs w:val="24"/>
        </w:rPr>
        <w:t xml:space="preserve"> на участие в закупке не подано ни одной заявки</w:t>
      </w:r>
      <w:r>
        <w:rPr>
          <w:bCs/>
          <w:sz w:val="24"/>
          <w:szCs w:val="24"/>
        </w:rPr>
        <w:t xml:space="preserve">, в </w:t>
      </w:r>
      <w:r>
        <w:rPr>
          <w:sz w:val="24"/>
          <w:szCs w:val="24"/>
        </w:rPr>
        <w:t>соответствии с п.5.3.а) Приложения №2 к Извещению о проведении закупки признать закупку</w:t>
      </w:r>
      <w:r>
        <w:rPr>
          <w:bCs/>
          <w:sz w:val="24"/>
          <w:szCs w:val="24"/>
        </w:rPr>
        <w:t xml:space="preserve"> </w:t>
      </w:r>
      <w:r>
        <w:rPr>
          <w:sz w:val="24"/>
          <w:szCs w:val="24"/>
        </w:rPr>
        <w:t>несостоявшейся.</w:t>
      </w:r>
      <w:bookmarkStart w:id="1" w:name="СписокУчастников"/>
      <w:bookmarkEnd w:id="1"/>
    </w:p>
    <w:p>
      <w:pPr>
        <w:pStyle w:val="Style26"/>
        <w:widowControl w:val="false"/>
        <w:numPr>
          <w:ilvl w:val="1"/>
          <w:numId w:val="2"/>
        </w:numPr>
        <w:tabs>
          <w:tab w:val="clear" w:pos="709"/>
          <w:tab w:val="left" w:pos="0" w:leader="none"/>
          <w:tab w:val="left" w:pos="426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Организатору закупки - </w:t>
      </w:r>
      <w:r>
        <w:rPr>
          <w:bCs/>
          <w:sz w:val="24"/>
          <w:szCs w:val="24"/>
        </w:rPr>
        <w:t xml:space="preserve">Департаменту организации конкурсных процедур ПАО «Россети Московский регион» </w:t>
      </w:r>
      <w:r>
        <w:rPr>
          <w:sz w:val="24"/>
          <w:szCs w:val="24"/>
        </w:rPr>
        <w:t>вернуть техническое задание Инициатору закупки.</w:t>
      </w:r>
    </w:p>
    <w:p>
      <w:pPr>
        <w:pStyle w:val="Style26"/>
        <w:widowControl w:val="false"/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yle26"/>
        <w:widowControl w:val="false"/>
        <w:tabs>
          <w:tab w:val="clear" w:pos="709"/>
          <w:tab w:val="left" w:pos="567" w:leader="none"/>
        </w:tabs>
        <w:spacing w:lineRule="auto" w:line="240" w:before="0" w:after="0"/>
        <w:ind w:hanging="0" w:start="0" w:end="0"/>
        <w:contextualSpacing w:val="false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12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РЕЗУЛЬТАТЫ ГОЛОСОВАНИЯ (в соответствии с опросными листами):</w:t>
      </w:r>
    </w:p>
    <w:p>
      <w:pPr>
        <w:pStyle w:val="Normal"/>
        <w:widowControl w:val="false"/>
        <w:suppressAutoHyphens w:val="true"/>
        <w:spacing w:lineRule="auto" w:line="240" w:before="120" w:after="0"/>
        <w:ind w:hanging="0" w:end="0"/>
        <w:rPr>
          <w:sz w:val="24"/>
          <w:szCs w:val="24"/>
        </w:rPr>
      </w:pPr>
      <w:r>
        <w:rPr>
          <w:sz w:val="24"/>
          <w:szCs w:val="24"/>
        </w:rPr>
        <w:t xml:space="preserve">«За» - </w:t>
      </w:r>
      <w:bookmarkStart w:id="2" w:name="КоличествоЧленов"/>
      <w:bookmarkEnd w:id="2"/>
      <w:r>
        <w:rPr>
          <w:sz w:val="24"/>
          <w:szCs w:val="24"/>
        </w:rPr>
        <w:t xml:space="preserve">11 </w:t>
      </w:r>
      <w:r>
        <w:rPr>
          <w:sz w:val="24"/>
          <w:szCs w:val="24"/>
          <w:lang w:val="en-US"/>
        </w:rPr>
        <w:t>(</w:t>
      </w:r>
      <w:r>
        <w:rPr>
          <w:sz w:val="24"/>
          <w:szCs w:val="24"/>
        </w:rPr>
        <w:t>одиннадцать</w:t>
      </w:r>
      <w:r>
        <w:rPr>
          <w:color w:val="000000"/>
          <w:sz w:val="24"/>
          <w:szCs w:val="24"/>
        </w:rPr>
        <w:t xml:space="preserve">) </w:t>
      </w:r>
      <w:r>
        <w:rPr>
          <w:sz w:val="24"/>
          <w:szCs w:val="24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/>
      </w:pPr>
      <w:r>
        <w:rPr>
          <w:sz w:val="24"/>
          <w:szCs w:val="24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sz w:val="24"/>
          <w:szCs w:val="24"/>
        </w:rPr>
      </w:pPr>
      <w:r>
        <w:rPr>
          <w:sz w:val="24"/>
          <w:szCs w:val="24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widowControl w:val="false"/>
        <w:suppressAutoHyphens w:val="true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spacing w:before="0" w:after="0"/>
        <w:ind w:hanging="567" w:start="567" w:end="0"/>
        <w:rPr>
          <w:rFonts w:ascii="Times New Roman" w:hAnsi="Times New Roman" w:cs="Times New Roman"/>
          <w:sz w:val="23"/>
          <w:szCs w:val="23"/>
        </w:rPr>
      </w:pPr>
      <w:r>
        <w:rPr>
          <w:rFonts w:cs="Times New Roman"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13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1985"/>
        <w:gridCol w:w="1984"/>
        <w:gridCol w:w="4145"/>
      </w:tblGrid>
      <w:tr>
        <w:trPr>
          <w:trHeight w:val="982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/>
            </w:pPr>
            <w:r>
              <w:rPr>
                <w:sz w:val="24"/>
                <w:szCs w:val="24"/>
              </w:rPr>
              <w:t>Заместитель Председателя</w:t>
            </w:r>
            <w:r>
              <w:rPr>
                <w:bCs/>
                <w:sz w:val="24"/>
                <w:szCs w:val="24"/>
              </w:rPr>
              <w:t xml:space="preserve"> К</w:t>
            </w:r>
            <w:r>
              <w:rPr>
                <w:sz w:val="24"/>
                <w:szCs w:val="24"/>
              </w:rPr>
              <w:t>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Старостина Я.О.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Директор департамента организации конкурсных процедур </w:t>
            </w:r>
            <w:r>
              <w:rPr>
                <w:bCs/>
                <w:sz w:val="24"/>
                <w:szCs w:val="24"/>
              </w:rPr>
              <w:t>ПАО «Россети Московский регион»</w:t>
            </w:r>
          </w:p>
        </w:tc>
      </w:tr>
      <w:tr>
        <w:trPr>
          <w:trHeight w:val="974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Секретарь Комиссии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napToGrid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4"/>
                <w:szCs w:val="24"/>
              </w:rPr>
              <w:t>Гусев К.В.</w:t>
            </w:r>
          </w:p>
        </w:tc>
        <w:tc>
          <w:tcPr>
            <w:tcW w:w="4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Начальник управления организации конкурсных закупок ПАО «Россети Московский регион»</w:t>
            </w:r>
          </w:p>
        </w:tc>
      </w:tr>
    </w:tbl>
    <w:p>
      <w:pPr>
        <w:pStyle w:val="Normal"/>
        <w:widowControl w:val="false"/>
        <w:suppressAutoHyphens w:val="true"/>
        <w:spacing w:lineRule="auto" w:line="240"/>
        <w:ind w:hanging="0" w:end="0"/>
        <w:rPr>
          <w:bCs/>
          <w:sz w:val="10"/>
          <w:szCs w:val="10"/>
        </w:rPr>
      </w:pPr>
      <w:r>
        <w:rPr>
          <w:bCs/>
          <w:sz w:val="10"/>
          <w:szCs w:val="10"/>
        </w:rPr>
      </w:r>
    </w:p>
    <w:p>
      <w:pPr>
        <w:pStyle w:val="Normal"/>
        <w:widowControl w:val="false"/>
        <w:spacing w:lineRule="auto" w:line="240"/>
        <w:ind w:hanging="0" w:end="0"/>
        <w:rPr>
          <w:bCs/>
          <w:i/>
          <w:i/>
          <w:color w:val="000000"/>
          <w:sz w:val="22"/>
          <w:szCs w:val="22"/>
        </w:rPr>
      </w:pPr>
      <w:r>
        <w:rPr>
          <w:bCs/>
          <w:i/>
          <w:color w:val="000000"/>
          <w:sz w:val="22"/>
          <w:szCs w:val="22"/>
        </w:rPr>
      </w:r>
    </w:p>
    <w:p>
      <w:pPr>
        <w:pStyle w:val="Normal"/>
        <w:widowControl w:val="false"/>
        <w:spacing w:lineRule="auto" w:line="240"/>
        <w:ind w:hanging="0" w:end="0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Огородникова Е.А.   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i/>
          <w:sz w:val="22"/>
          <w:szCs w:val="22"/>
        </w:rPr>
        <w:t>+7 (495) 662-40-70  (вн. 47-73)</w:t>
      </w:r>
    </w:p>
    <w:sectPr>
      <w:footerReference w:type="default" r:id="rId3"/>
      <w:type w:val="nextPage"/>
      <w:pgSz w:w="11906" w:h="16838"/>
      <w:pgMar w:left="1080" w:right="849" w:gutter="0" w:header="0" w:top="426" w:footer="321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 Unicode MS">
    <w:charset w:val="8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Протокол №РМР/5662</w:t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2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2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 w:cs="Times New Roman"/>
        <w:sz w:val="16"/>
        <w:szCs w:val="16"/>
      </w:rPr>
    </w:pPr>
    <w:r>
      <w:rPr>
        <w:rFonts w:cs="Times New Roman" w:ascii="Times New Roman" w:hAnsi="Times New Roman"/>
        <w:sz w:val="16"/>
        <w:szCs w:val="16"/>
      </w:rPr>
      <w:t>очно-заочного заседания Постоянно действующей конкурсной комиссии (далее - Комиссия) по подведению итогов закупки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/>
    </w:pPr>
    <w:r>
      <w:rPr>
        <w:rFonts w:cs="Times New Roman" w:ascii="Times New Roman" w:hAnsi="Times New Roman"/>
        <w:sz w:val="16"/>
        <w:szCs w:val="16"/>
      </w:rPr>
      <w:t xml:space="preserve"> </w:t>
    </w:r>
    <w:r>
      <w:rPr>
        <w:rFonts w:cs="Times New Roman" w:ascii="Times New Roman" w:hAnsi="Times New Roman"/>
        <w:sz w:val="16"/>
        <w:szCs w:val="16"/>
      </w:rPr>
      <w:t xml:space="preserve">(ЕИС № </w:t>
    </w:r>
    <w:r>
      <w:rPr>
        <w:rFonts w:cs="Times New Roman" w:ascii="Times New Roman" w:hAnsi="Times New Roman"/>
        <w:kern w:val="2"/>
        <w:sz w:val="16"/>
        <w:szCs w:val="16"/>
      </w:rPr>
      <w:t>32515481731</w:t>
    </w:r>
    <w:r>
      <w:rPr>
        <w:rFonts w:cs="Times New Roman" w:ascii="Times New Roman" w:hAnsi="Times New Roman"/>
        <w:sz w:val="16"/>
        <w:szCs w:val="16"/>
      </w:rPr>
      <w:t>)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pStyle w:val="Heading4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644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 w:end="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b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7z1">
    <w:name w:val="WW8Num7z1"/>
    <w:qFormat/>
    <w:rPr>
      <w:b/>
    </w:rPr>
  </w:style>
  <w:style w:type="character" w:styleId="WW8Num7z2">
    <w:name w:val="WW8Num7z2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sz w:val="24"/>
    </w:rPr>
  </w:style>
  <w:style w:type="character" w:styleId="WW8Num11z0">
    <w:name w:val="WW8Num11z0"/>
    <w:qFormat/>
    <w:rPr>
      <w:b/>
    </w:rPr>
  </w:style>
  <w:style w:type="character" w:styleId="WW8Num11z1">
    <w:name w:val="WW8Num11z1"/>
    <w:qFormat/>
    <w:rPr>
      <w:b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Times New Roman" w:hAnsi="Times New Roman" w:eastAsia="Times New Roman" w:cs="Times New Roman"/>
    </w:rPr>
  </w:style>
  <w:style w:type="character" w:styleId="WW8Num14z0">
    <w:name w:val="WW8Num14z0"/>
    <w:qFormat/>
    <w:rPr/>
  </w:style>
  <w:style w:type="character" w:styleId="WW8Num14z1">
    <w:name w:val="WW8Num14z1"/>
    <w:qFormat/>
    <w:rPr>
      <w:sz w:val="20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b/>
      <w:color w:val="000000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Times New Roman" w:hAnsi="Times New Roman" w:cs="Times New Roman"/>
    </w:rPr>
  </w:style>
  <w:style w:type="character" w:styleId="WW8Num28z1">
    <w:name w:val="WW8Num28z1"/>
    <w:qFormat/>
    <w:rPr>
      <w:b/>
    </w:rPr>
  </w:style>
  <w:style w:type="character" w:styleId="WW8Num28z2">
    <w:name w:val="WW8Num28z2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/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Style10">
    <w:name w:val="Основной шрифт абзаца"/>
    <w:qFormat/>
    <w:rPr/>
  </w:style>
  <w:style w:type="character" w:styleId="Style11">
    <w:name w:val="комментарий"/>
    <w:qFormat/>
    <w:rPr>
      <w:b/>
      <w:i/>
      <w:shd w:fill="FFFF99" w:val="clear"/>
    </w:rPr>
  </w:style>
  <w:style w:type="character" w:styleId="PageNumber">
    <w:name w:val="page number"/>
    <w:basedOn w:val="Style10"/>
    <w:rPr/>
  </w:style>
  <w:style w:type="character" w:styleId="Style12">
    <w:name w:val="Пункт Знак"/>
    <w:qFormat/>
    <w:rPr>
      <w:b/>
      <w:sz w:val="28"/>
      <w:szCs w:val="28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Style13">
    <w:name w:val="Верхний колонтитул Знак"/>
    <w:qFormat/>
    <w:rPr>
      <w:sz w:val="28"/>
      <w:lang w:val="ru-RU" w:bidi="ar-SA"/>
    </w:rPr>
  </w:style>
  <w:style w:type="character" w:styleId="1">
    <w:name w:val="Пункт Знак1"/>
    <w:qFormat/>
    <w:rPr>
      <w:b/>
      <w:sz w:val="28"/>
      <w:szCs w:val="28"/>
      <w:lang w:val="ru-RU" w:bidi="ar-SA"/>
    </w:rPr>
  </w:style>
  <w:style w:type="character" w:styleId="webofficeattributevalue1">
    <w:name w:val="webofficeattributevalue1"/>
    <w:qFormat/>
    <w:rPr>
      <w:rFonts w:ascii="Verdana" w:hAnsi="Verdana" w:cs="Verdana"/>
      <w:strike w:val="false"/>
      <w:dstrike w:val="false"/>
      <w:color w:val="000000"/>
      <w:sz w:val="16"/>
      <w:szCs w:val="16"/>
      <w:u w:val="none"/>
    </w:rPr>
  </w:style>
  <w:style w:type="character" w:styleId="value">
    <w:name w:val="value"/>
    <w:basedOn w:val="Style10"/>
    <w:qFormat/>
    <w:rPr/>
  </w:style>
  <w:style w:type="character" w:styleId="x-small1">
    <w:name w:val="x-small1"/>
    <w:qFormat/>
    <w:rPr>
      <w:sz w:val="18"/>
      <w:szCs w:val="18"/>
    </w:rPr>
  </w:style>
  <w:style w:type="character" w:styleId="Style14">
    <w:name w:val="Замещающий текст"/>
    <w:qFormat/>
    <w:rPr>
      <w:color w:val="808080"/>
    </w:rPr>
  </w:style>
  <w:style w:type="character" w:styleId="Style15">
    <w:name w:val="Название Знак"/>
    <w:qFormat/>
    <w:rPr>
      <w:sz w:val="28"/>
      <w:szCs w:val="24"/>
    </w:rPr>
  </w:style>
  <w:style w:type="character" w:styleId="11">
    <w:name w:val="Подпункт Знак1"/>
    <w:qFormat/>
    <w:rPr>
      <w:sz w:val="22"/>
    </w:rPr>
  </w:style>
  <w:style w:type="character" w:styleId="2">
    <w:name w:val="Основной текст с отступом 2 Знак"/>
    <w:qFormat/>
    <w:rPr>
      <w:sz w:val="24"/>
    </w:rPr>
  </w:style>
  <w:style w:type="paragraph" w:styleId="Heading">
    <w:name w:val="Heading"/>
    <w:basedOn w:val="Normal"/>
    <w:next w:val="BodyText"/>
    <w:qFormat/>
    <w:pPr>
      <w:ind w:hanging="0" w:start="0" w:end="0"/>
      <w:jc w:val="center"/>
    </w:pPr>
    <w:rPr>
      <w:szCs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>
    <w:name w:val="Стиль Заголовок 1 + по ширине"/>
    <w:basedOn w:val="Heading1"/>
    <w:qFormat/>
    <w:pPr>
      <w:keepLines/>
      <w:numPr>
        <w:ilvl w:val="0"/>
        <w:numId w:val="3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pPr>
      <w:tabs>
        <w:tab w:val="clear" w:pos="709"/>
        <w:tab w:val="left" w:pos="720" w:leader="none"/>
      </w:tabs>
      <w:spacing w:lineRule="auto" w:line="240"/>
      <w:ind w:firstLine="567" w:start="-360" w:end="0"/>
    </w:pPr>
    <w:rPr>
      <w:sz w:val="2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Style16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8">
    <w:name w:val="Пункт"/>
    <w:basedOn w:val="Normal"/>
    <w:qFormat/>
    <w:pPr>
      <w:tabs>
        <w:tab w:val="clear" w:pos="709"/>
        <w:tab w:val="left" w:pos="1134" w:leader="none"/>
      </w:tabs>
      <w:ind w:hanging="1134" w:start="1134" w:end="0"/>
    </w:pPr>
    <w:rPr>
      <w:b/>
      <w:szCs w:val="28"/>
    </w:rPr>
  </w:style>
  <w:style w:type="paragraph" w:styleId="-2">
    <w:name w:val="Пункт-2"/>
    <w:basedOn w:val="Style18"/>
    <w:qFormat/>
    <w:pPr>
      <w:keepNext w:val="true"/>
      <w:outlineLvl w:val="2"/>
    </w:pPr>
    <w:rPr>
      <w:b w:val="false"/>
    </w:rPr>
  </w:style>
  <w:style w:type="paragraph" w:styleId="Style19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">
    <w:name w:val="WW-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0">
    <w:name w:val="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">
    <w:name w:val="WW-Знак1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13">
    <w:name w:val="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1">
    <w:name w:val="Нумерованный список"/>
    <w:basedOn w:val="Normal"/>
    <w:qFormat/>
    <w:pPr>
      <w:numPr>
        <w:ilvl w:val="0"/>
        <w:numId w:val="5"/>
      </w:numPr>
      <w:autoSpaceDE w:val="false"/>
      <w:spacing w:before="60" w:after="0"/>
    </w:pPr>
    <w:rPr>
      <w:bCs/>
      <w:sz w:val="22"/>
      <w:szCs w:val="24"/>
    </w:rPr>
  </w:style>
  <w:style w:type="paragraph" w:styleId="21">
    <w:name w:val="Основной текст с отступом 2"/>
    <w:basedOn w:val="Normal"/>
    <w:qFormat/>
    <w:pPr>
      <w:spacing w:lineRule="auto" w:line="240"/>
      <w:ind w:hanging="0" w:start="-540" w:end="0"/>
      <w:jc w:val="center"/>
    </w:pPr>
    <w:rPr>
      <w:sz w:val="24"/>
    </w:rPr>
  </w:style>
  <w:style w:type="paragraph" w:styleId="14">
    <w:name w:val="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xl34">
    <w:name w:val="xl34"/>
    <w:basedOn w:val="Normal"/>
    <w:qFormat/>
    <w:pPr>
      <w:pBdr>
        <w:left w:val="single" w:sz="4" w:space="0" w:color="000000"/>
        <w:right w:val="single" w:sz="4" w:space="0" w:color="000000"/>
      </w:pBdr>
      <w:spacing w:lineRule="auto" w:line="240" w:before="280" w:after="280"/>
      <w:ind w:hanging="0" w:start="0" w:end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2">
    <w:name w:val="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WW-11">
    <w:name w:val="WW-Знак Знак Знак1 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3">
    <w:name w:val="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24">
    <w:name w:val="Ариал"/>
    <w:basedOn w:val="Normal"/>
    <w:qFormat/>
    <w:pPr>
      <w:spacing w:before="120" w:after="120"/>
      <w:ind w:firstLine="851" w:start="0" w:end="0"/>
    </w:pPr>
    <w:rPr>
      <w:rFonts w:ascii="Arial" w:hAnsi="Arial" w:cs="Arial"/>
      <w:sz w:val="24"/>
      <w:szCs w:val="24"/>
    </w:rPr>
  </w:style>
  <w:style w:type="paragraph" w:styleId="WW-2">
    <w:name w:val="WW-Знак Знак Знак Знак Знак Знак Знак"/>
    <w:basedOn w:val="Normal"/>
    <w:qFormat/>
    <w:pPr>
      <w:tabs>
        <w:tab w:val="clear" w:pos="709"/>
        <w:tab w:val="left" w:pos="360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3">
    <w:name w:val="Обычный3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4">
    <w:name w:val="Обычный4"/>
    <w:qFormat/>
    <w:pPr>
      <w:widowControl/>
      <w:bidi w:val="0"/>
    </w:pPr>
    <w:rPr>
      <w:rFonts w:ascii="Arial" w:hAnsi="Arial" w:eastAsia="Times New Roman" w:cs="Arial"/>
      <w:color w:val="auto"/>
      <w:sz w:val="18"/>
      <w:szCs w:val="20"/>
      <w:lang w:val="ru-RU" w:bidi="ar-SA" w:eastAsia="zh-CN"/>
    </w:rPr>
  </w:style>
  <w:style w:type="paragraph" w:styleId="5">
    <w:name w:val="Обычный5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22">
    <w:name w:val="Обычный2"/>
    <w:qFormat/>
    <w:pPr>
      <w:widowControl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5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WW-12">
    <w:name w:val="WW-Обычный1"/>
    <w:qFormat/>
    <w:pPr>
      <w:widowControl w:val="false"/>
      <w:bidi w:val="0"/>
      <w:ind w:firstLine="400" w:start="0" w:end="0"/>
      <w:jc w:val="both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6">
    <w:name w:val="Абзац списка"/>
    <w:basedOn w:val="Normal"/>
    <w:qFormat/>
    <w:pPr>
      <w:suppressAutoHyphens w:val="true"/>
      <w:spacing w:before="0" w:after="0"/>
      <w:ind w:firstLine="567" w:start="720" w:end="0"/>
      <w:contextualSpacing/>
    </w:pPr>
    <w:rPr>
      <w:kern w:val="2"/>
    </w:rPr>
  </w:style>
  <w:style w:type="paragraph" w:styleId="Style27">
    <w:name w:val="Подпункт"/>
    <w:basedOn w:val="Normal"/>
    <w:qFormat/>
    <w:pPr>
      <w:tabs>
        <w:tab w:val="clear" w:pos="709"/>
        <w:tab w:val="left" w:pos="1701" w:leader="none"/>
      </w:tabs>
      <w:ind w:hanging="1134" w:start="1701" w:end="0"/>
    </w:pPr>
    <w:rPr>
      <w:sz w:val="22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tender.lot-online.ru/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ПрРРП1.dotx</Template>
  <TotalTime>3363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2018-06-29T10:41:00Z</dcterms:created>
  <dc:creator>moesk</dc:creator>
  <dc:description>1815</dc:description>
  <cp:keywords/>
  <dc:language>en-US</dc:language>
  <cp:lastModifiedBy>Огородникова Елена Алексеевна</cp:lastModifiedBy>
  <cp:lastPrinted>2020-01-15T10:06:00Z</cp:lastPrinted>
  <dcterms:modified xsi:type="dcterms:W3CDTF">2025-12-11T08:11:00Z</dcterms:modified>
  <cp:revision>2797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