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tabs>
          <w:tab w:val="clear" w:pos="709"/>
          <w:tab w:val="left" w:pos="426" w:leader="none"/>
        </w:tabs>
        <w:jc w:val="center"/>
        <w:rPr>
          <w:b/>
          <w:bCs/>
          <w:i/>
          <w:i/>
          <w:sz w:val="22"/>
          <w:szCs w:val="22"/>
        </w:rPr>
      </w:pPr>
      <w:r>
        <w:rPr>
          <w:b/>
          <w:bCs/>
          <w:i/>
          <w:sz w:val="22"/>
          <w:szCs w:val="22"/>
        </w:rPr>
        <w:t xml:space="preserve">ПРОТОКОЛ ЗАСЕДАНИЯ </w:t>
      </w:r>
    </w:p>
    <w:p>
      <w:pPr>
        <w:pStyle w:val="Normal"/>
        <w:tabs>
          <w:tab w:val="clear" w:pos="709"/>
          <w:tab w:val="left" w:pos="426" w:leader="none"/>
        </w:tabs>
        <w:jc w:val="center"/>
        <w:rPr/>
      </w:pPr>
      <w:r>
        <w:rPr>
          <w:b/>
          <w:bCs/>
          <w:i/>
          <w:sz w:val="22"/>
          <w:szCs w:val="22"/>
        </w:rPr>
        <w:t xml:space="preserve">ПОСТОЯННО ДЕЙСТВУЮЩЕЙ ЗАКУПОЧНОЙ КОМИССИИ № </w:t>
      </w:r>
      <w:r>
        <w:rPr>
          <w:b/>
          <w:i/>
          <w:sz w:val="22"/>
          <w:szCs w:val="22"/>
        </w:rPr>
        <w:t>32515431446/</w:t>
      </w:r>
      <w:r>
        <w:rPr>
          <w:b/>
          <w:bCs/>
          <w:i/>
          <w:sz w:val="22"/>
          <w:szCs w:val="22"/>
        </w:rPr>
        <w:t>1</w:t>
      </w:r>
    </w:p>
    <w:p>
      <w:pPr>
        <w:pStyle w:val="Normal"/>
        <w:tabs>
          <w:tab w:val="clear" w:pos="709"/>
          <w:tab w:val="left" w:pos="426" w:leader="none"/>
        </w:tabs>
        <w:jc w:val="center"/>
        <w:rPr>
          <w:b/>
          <w:bCs/>
          <w:i/>
          <w:i/>
          <w:sz w:val="22"/>
          <w:szCs w:val="22"/>
        </w:rPr>
      </w:pPr>
      <w:r>
        <w:rPr>
          <w:b/>
          <w:bCs/>
          <w:i/>
          <w:sz w:val="22"/>
          <w:szCs w:val="22"/>
        </w:rPr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>
          <w:sz w:val="22"/>
          <w:szCs w:val="22"/>
        </w:rPr>
        <w:t>Дата заседания комиссии: 15 декабря 2025 года.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>
          <w:sz w:val="22"/>
          <w:szCs w:val="22"/>
        </w:rPr>
        <w:t>Дата подписания протокола: 15 декабря 2025 года.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426" w:leader="none"/>
        </w:tabs>
        <w:rPr>
          <w:sz w:val="22"/>
          <w:szCs w:val="22"/>
        </w:rPr>
      </w:pPr>
      <w:r>
        <w:rPr>
          <w:sz w:val="22"/>
          <w:szCs w:val="22"/>
        </w:rPr>
        <w:t>Форма проведения заседания комиссии: очно-заочная.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>
          <w:sz w:val="22"/>
          <w:szCs w:val="22"/>
        </w:rPr>
        <w:t>Общее число членов постоянно действующей закупочной комиссии филиала ПАО «Россети Юг» - «Кубаньэнерго» составляет - 9 (девять)</w:t>
      </w:r>
      <w:r>
        <w:rPr/>
        <w:t>.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6"/>
      </w:tblGrid>
      <w:tr>
        <w:trPr>
          <w:trHeight w:val="1048" w:hRule="atLeast"/>
        </w:trPr>
        <w:tc>
          <w:tcPr>
            <w:tcW w:w="10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Голосовали: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Председатель ПДЗК: </w:t>
            </w:r>
            <w:r>
              <w:rPr>
                <w:bCs/>
                <w:color w:val="000000"/>
                <w:sz w:val="22"/>
                <w:szCs w:val="22"/>
              </w:rPr>
              <w:t>В.А. Коржаневский.</w:t>
            </w:r>
          </w:p>
          <w:p>
            <w:pPr>
              <w:pStyle w:val="Normal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Заместитель председателя ПДЗК: </w:t>
            </w:r>
            <w:r>
              <w:rPr>
                <w:bCs/>
                <w:color w:val="000000"/>
                <w:sz w:val="22"/>
                <w:szCs w:val="22"/>
              </w:rPr>
              <w:t>О.Ф. Нищук.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Члены ПДЗК: </w:t>
            </w:r>
            <w:r>
              <w:rPr>
                <w:bCs/>
                <w:color w:val="000000"/>
                <w:sz w:val="22"/>
                <w:szCs w:val="22"/>
              </w:rPr>
              <w:t>С.С. Шевченко, А.А. Часов, Д.А. Коновалов, О.В. Бабак.</w:t>
            </w:r>
          </w:p>
          <w:p>
            <w:pPr>
              <w:pStyle w:val="Normal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Не приняли участие в голосовании: </w:t>
            </w:r>
            <w:r>
              <w:rPr>
                <w:bCs/>
                <w:color w:val="000000"/>
                <w:sz w:val="22"/>
                <w:szCs w:val="22"/>
              </w:rPr>
              <w:t>В.А. Михайлов,</w:t>
            </w:r>
            <w:r>
              <w:rPr>
                <w:color w:val="000000"/>
                <w:sz w:val="22"/>
                <w:szCs w:val="22"/>
              </w:rPr>
              <w:t xml:space="preserve"> С.С. Заворин,</w:t>
            </w:r>
            <w:r>
              <w:rPr>
                <w:bCs/>
                <w:color w:val="000000"/>
                <w:sz w:val="22"/>
                <w:szCs w:val="22"/>
              </w:rPr>
              <w:t xml:space="preserve"> О.В. Крылов</w:t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Кворум имеется. Комиссия правомочна.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left" w:pos="709" w:leader="none"/>
        </w:tabs>
        <w:jc w:val="both"/>
        <w:rPr/>
      </w:pPr>
      <w:r>
        <w:rPr>
          <w:sz w:val="22"/>
          <w:szCs w:val="22"/>
        </w:rPr>
        <w:t xml:space="preserve">Настоящий </w:t>
      </w:r>
      <w:r>
        <w:rPr>
          <w:bCs/>
          <w:sz w:val="22"/>
          <w:szCs w:val="22"/>
        </w:rPr>
        <w:t>запрос предложений</w:t>
      </w:r>
      <w:r>
        <w:rPr>
          <w:sz w:val="22"/>
          <w:szCs w:val="22"/>
        </w:rPr>
        <w:t xml:space="preserve"> в электронной форме проводится с использованием функционала Единой электронной торговой площадки «Росэлторг» согласно Правилам работы данной системы.</w:t>
      </w:r>
    </w:p>
    <w:p>
      <w:pPr>
        <w:pStyle w:val="31"/>
        <w:numPr>
          <w:ilvl w:val="0"/>
          <w:numId w:val="4"/>
        </w:numPr>
        <w:tabs>
          <w:tab w:val="clear" w:pos="709"/>
          <w:tab w:val="left" w:pos="284" w:leader="none"/>
        </w:tabs>
        <w:ind w:hanging="0" w:start="0" w:end="0"/>
        <w:rPr>
          <w:b/>
          <w:bCs/>
          <w:caps/>
          <w:sz w:val="22"/>
          <w:szCs w:val="22"/>
          <w:lang w:val="ru-RU"/>
        </w:rPr>
      </w:pPr>
      <w:r>
        <w:rPr>
          <w:b/>
          <w:bCs/>
          <w:caps/>
          <w:sz w:val="22"/>
          <w:szCs w:val="22"/>
          <w:lang w:val="ru-RU"/>
        </w:rPr>
        <w:t>ВОПРОСЫ ЗАСЕДАНИЯ ПОСТОЯННО ДЕЙСТВУЮЩЕЙ ЗАКУПОЧНОЙ КОМИССИИ:</w:t>
      </w:r>
    </w:p>
    <w:p>
      <w:pPr>
        <w:pStyle w:val="Style23"/>
        <w:numPr>
          <w:ilvl w:val="0"/>
          <w:numId w:val="3"/>
        </w:numPr>
        <w:tabs>
          <w:tab w:val="clear" w:pos="709"/>
          <w:tab w:val="left" w:pos="284" w:leader="none"/>
          <w:tab w:val="left" w:pos="6446" w:leader="none"/>
        </w:tabs>
        <w:spacing w:before="0" w:after="0"/>
        <w:ind w:hanging="0" w:start="0" w:end="0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О </w:t>
      </w:r>
      <w:r>
        <w:rPr>
          <w:bCs/>
          <w:sz w:val="22"/>
          <w:szCs w:val="22"/>
          <w:lang w:val="ru-RU"/>
        </w:rPr>
        <w:t>переносе сроков</w:t>
      </w:r>
      <w:r>
        <w:rPr>
          <w:bCs/>
          <w:sz w:val="22"/>
          <w:szCs w:val="22"/>
        </w:rPr>
        <w:t>.</w:t>
      </w:r>
    </w:p>
    <w:p>
      <w:pPr>
        <w:pStyle w:val="Style23"/>
        <w:numPr>
          <w:ilvl w:val="0"/>
          <w:numId w:val="3"/>
        </w:numPr>
        <w:tabs>
          <w:tab w:val="clear" w:pos="709"/>
          <w:tab w:val="left" w:pos="284" w:leader="none"/>
          <w:tab w:val="left" w:pos="6446" w:leader="none"/>
        </w:tabs>
        <w:spacing w:before="0" w:after="0"/>
        <w:ind w:hanging="0" w:start="0" w:end="0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  <w:lang w:val="ru-RU"/>
        </w:rPr>
        <w:t>О рассмотрении экспертных заключений и принятии их к сведению</w:t>
      </w:r>
    </w:p>
    <w:p>
      <w:pPr>
        <w:pStyle w:val="Style23"/>
        <w:numPr>
          <w:ilvl w:val="0"/>
          <w:numId w:val="3"/>
        </w:numPr>
        <w:tabs>
          <w:tab w:val="clear" w:pos="709"/>
          <w:tab w:val="left" w:pos="284" w:leader="none"/>
          <w:tab w:val="left" w:pos="6446" w:leader="none"/>
        </w:tabs>
        <w:spacing w:before="0" w:after="0"/>
        <w:ind w:hanging="0" w:start="0" w:end="0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  <w:lang w:val="ru-RU"/>
        </w:rPr>
        <w:t>О признании заявок участников несоответствующими требованиям документации о закупке, отклонении от дальнейшего рассмотрения.</w:t>
      </w:r>
    </w:p>
    <w:p>
      <w:pPr>
        <w:pStyle w:val="Style23"/>
        <w:numPr>
          <w:ilvl w:val="0"/>
          <w:numId w:val="3"/>
        </w:numPr>
        <w:tabs>
          <w:tab w:val="clear" w:pos="709"/>
          <w:tab w:val="left" w:pos="142" w:leader="none"/>
          <w:tab w:val="left" w:pos="284" w:leader="none"/>
          <w:tab w:val="left" w:pos="851" w:leader="none"/>
        </w:tabs>
        <w:spacing w:before="0" w:after="0"/>
        <w:ind w:hanging="0" w:start="0" w:end="0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О </w:t>
      </w:r>
      <w:r>
        <w:rPr>
          <w:bCs/>
          <w:sz w:val="22"/>
          <w:szCs w:val="22"/>
          <w:lang w:val="ru-RU"/>
        </w:rPr>
        <w:t>признании запроса предложений в электронной форме несостоявшимся и проведении анализа документации о закупке (технической и коммерческой частей) и целесообразности объявления повторной закупки на тех же условиях либо целесообразности их изменений.</w:t>
      </w:r>
    </w:p>
    <w:p>
      <w:pPr>
        <w:pStyle w:val="31"/>
        <w:numPr>
          <w:ilvl w:val="0"/>
          <w:numId w:val="4"/>
        </w:numPr>
        <w:tabs>
          <w:tab w:val="clear" w:pos="709"/>
          <w:tab w:val="left" w:pos="142" w:leader="none"/>
          <w:tab w:val="left" w:pos="284" w:leader="none"/>
        </w:tabs>
        <w:ind w:hanging="0" w:start="0" w:end="0"/>
        <w:rPr>
          <w:b/>
          <w:bCs/>
          <w:caps/>
          <w:sz w:val="22"/>
          <w:szCs w:val="22"/>
          <w:lang w:val="ru-RU"/>
        </w:rPr>
      </w:pPr>
      <w:r>
        <w:rPr>
          <w:b/>
          <w:bCs/>
          <w:caps/>
          <w:sz w:val="22"/>
          <w:szCs w:val="22"/>
        </w:rPr>
        <w:t>Информация о закупке</w:t>
      </w:r>
      <w:r>
        <w:rPr>
          <w:b/>
          <w:bCs/>
          <w:caps/>
          <w:sz w:val="22"/>
          <w:szCs w:val="22"/>
          <w:lang w:val="ru-RU"/>
        </w:rPr>
        <w:t>.</w:t>
      </w:r>
    </w:p>
    <w:p>
      <w:pPr>
        <w:pStyle w:val="31"/>
        <w:numPr>
          <w:ilvl w:val="0"/>
          <w:numId w:val="5"/>
        </w:numPr>
        <w:tabs>
          <w:tab w:val="clear" w:pos="709"/>
          <w:tab w:val="left" w:pos="142" w:leader="none"/>
          <w:tab w:val="left" w:pos="284" w:leader="none"/>
        </w:tabs>
        <w:ind w:hanging="0" w:start="0" w:end="0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Извещение о проведении </w:t>
      </w:r>
      <w:r>
        <w:rPr>
          <w:sz w:val="22"/>
          <w:szCs w:val="22"/>
          <w:lang w:val="ru-RU"/>
        </w:rPr>
        <w:t xml:space="preserve">запроса предложений </w:t>
      </w:r>
      <w:r>
        <w:rPr>
          <w:bCs/>
          <w:iCs/>
          <w:sz w:val="22"/>
          <w:szCs w:val="22"/>
        </w:rPr>
        <w:t xml:space="preserve">в электронной форме от </w:t>
      </w:r>
      <w:r>
        <w:rPr>
          <w:bCs/>
          <w:iCs/>
          <w:sz w:val="22"/>
          <w:szCs w:val="22"/>
          <w:lang w:val="ru-RU"/>
        </w:rPr>
        <w:t>21</w:t>
      </w:r>
      <w:r>
        <w:rPr>
          <w:bCs/>
          <w:sz w:val="22"/>
          <w:szCs w:val="22"/>
        </w:rPr>
        <w:t>.</w:t>
      </w:r>
      <w:r>
        <w:rPr>
          <w:bCs/>
          <w:sz w:val="22"/>
          <w:szCs w:val="22"/>
          <w:lang w:val="ru-RU"/>
        </w:rPr>
        <w:t>11</w:t>
      </w:r>
      <w:r>
        <w:rPr>
          <w:bCs/>
          <w:sz w:val="22"/>
          <w:szCs w:val="22"/>
        </w:rPr>
        <w:t>.202</w:t>
      </w:r>
      <w:r>
        <w:rPr>
          <w:bCs/>
          <w:sz w:val="22"/>
          <w:szCs w:val="22"/>
          <w:lang w:val="ru-RU"/>
        </w:rPr>
        <w:t>5</w:t>
      </w:r>
      <w:r>
        <w:rPr>
          <w:bCs/>
          <w:sz w:val="22"/>
          <w:szCs w:val="22"/>
        </w:rPr>
        <w:t xml:space="preserve"> </w:t>
      </w:r>
      <w:r>
        <w:rPr>
          <w:bCs/>
          <w:iCs/>
          <w:sz w:val="22"/>
          <w:szCs w:val="22"/>
        </w:rPr>
        <w:t>№</w:t>
      </w:r>
      <w:r>
        <w:rPr>
          <w:bCs/>
          <w:iCs/>
          <w:sz w:val="22"/>
          <w:szCs w:val="22"/>
          <w:lang w:val="ru-RU"/>
        </w:rPr>
        <w:t xml:space="preserve"> </w:t>
      </w:r>
      <w:r>
        <w:rPr>
          <w:b/>
          <w:sz w:val="22"/>
          <w:szCs w:val="22"/>
        </w:rPr>
        <w:t>32515431446</w:t>
      </w:r>
      <w:r>
        <w:rPr>
          <w:b/>
          <w:bCs/>
          <w:iCs/>
          <w:sz w:val="22"/>
          <w:szCs w:val="22"/>
        </w:rPr>
        <w:t>,</w:t>
      </w:r>
      <w:r>
        <w:rPr>
          <w:bCs/>
          <w:iCs/>
          <w:sz w:val="22"/>
          <w:szCs w:val="22"/>
        </w:rPr>
        <w:t xml:space="preserve"> опубликовано на официальном сайте Единой информационной системы в сфере закупок (</w:t>
      </w:r>
      <w:hyperlink r:id="rId2">
        <w:r>
          <w:rPr>
            <w:rStyle w:val="Hyperlink"/>
            <w:bCs/>
            <w:iCs/>
            <w:sz w:val="22"/>
            <w:szCs w:val="22"/>
          </w:rPr>
          <w:t>www.zakupki.gov.ru</w:t>
        </w:r>
      </w:hyperlink>
      <w:r>
        <w:rPr>
          <w:bCs/>
          <w:iCs/>
          <w:sz w:val="22"/>
          <w:szCs w:val="22"/>
        </w:rPr>
        <w:t>), с копией публикации на Единой электронной торговой площадке «Росэлторг» (</w:t>
      </w:r>
      <w:hyperlink r:id="rId3">
        <w:r>
          <w:rPr>
            <w:rStyle w:val="Hyperlink"/>
            <w:bCs/>
            <w:iCs/>
            <w:sz w:val="22"/>
            <w:szCs w:val="22"/>
          </w:rPr>
          <w:t>www.roseltorg.ru</w:t>
        </w:r>
      </w:hyperlink>
      <w:r>
        <w:rPr>
          <w:bCs/>
          <w:iCs/>
          <w:sz w:val="22"/>
          <w:szCs w:val="22"/>
        </w:rPr>
        <w:t>)</w:t>
      </w:r>
      <w:r>
        <w:rPr>
          <w:iCs/>
          <w:sz w:val="22"/>
          <w:szCs w:val="22"/>
        </w:rPr>
        <w:t>.</w:t>
      </w:r>
    </w:p>
    <w:p>
      <w:pPr>
        <w:pStyle w:val="31"/>
        <w:tabs>
          <w:tab w:val="clear" w:pos="709"/>
          <w:tab w:val="left" w:pos="142" w:leader="none"/>
          <w:tab w:val="left" w:pos="284" w:leader="none"/>
        </w:tabs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</w:r>
    </w:p>
    <w:tbl>
      <w:tblPr>
        <w:tblW w:w="48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19"/>
        <w:gridCol w:w="2768"/>
        <w:gridCol w:w="3012"/>
      </w:tblGrid>
      <w:tr>
        <w:trPr>
          <w:trHeight w:val="58" w:hRule="atLeast"/>
          <w:cantSplit w:val="true"/>
        </w:trPr>
        <w:tc>
          <w:tcPr>
            <w:tcW w:w="4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Предмет договора</w:t>
            </w:r>
          </w:p>
        </w:tc>
        <w:tc>
          <w:tcPr>
            <w:tcW w:w="2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jc w:val="center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Цена закупаемых товаров, работ, услуг</w:t>
            </w:r>
          </w:p>
        </w:tc>
        <w:tc>
          <w:tcPr>
            <w:tcW w:w="3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jc w:val="center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Срок поставки/ выполнения работ/ оказания услуг</w:t>
            </w:r>
          </w:p>
        </w:tc>
      </w:tr>
      <w:tr>
        <w:trPr>
          <w:trHeight w:val="873" w:hRule="atLeast"/>
          <w:cantSplit w:val="true"/>
        </w:trPr>
        <w:tc>
          <w:tcPr>
            <w:tcW w:w="4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Право заключения договора на поставку бензоинструмента для бригады по расчистке ВЛ филиала АО «Россети Кубань» Адыгейские электрические сети.</w:t>
            </w:r>
          </w:p>
        </w:tc>
        <w:tc>
          <w:tcPr>
            <w:tcW w:w="2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1543" w:leader="none"/>
              </w:tabs>
              <w:jc w:val="center"/>
              <w:rPr/>
            </w:pPr>
            <w:r>
              <w:rPr>
                <w:color w:val="000000"/>
                <w:sz w:val="22"/>
                <w:szCs w:val="22"/>
                <w:lang w:val="ru-RU"/>
              </w:rPr>
              <w:t>890 998,68</w:t>
            </w:r>
            <w:r>
              <w:rPr>
                <w:color w:val="000000"/>
                <w:sz w:val="22"/>
                <w:szCs w:val="22"/>
              </w:rPr>
              <w:t xml:space="preserve"> руб. с НДС</w:t>
            </w:r>
            <w:r>
              <w:rPr>
                <w:color w:val="000000"/>
                <w:sz w:val="22"/>
                <w:szCs w:val="22"/>
                <w:lang w:val="ru-RU"/>
              </w:rPr>
              <w:t xml:space="preserve"> 20%</w:t>
            </w:r>
          </w:p>
        </w:tc>
        <w:tc>
          <w:tcPr>
            <w:tcW w:w="3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 течение 3 рабочих дней с момента подписания договора</w:t>
            </w:r>
          </w:p>
        </w:tc>
      </w:tr>
    </w:tbl>
    <w:p>
      <w:pPr>
        <w:pStyle w:val="31"/>
        <w:numPr>
          <w:ilvl w:val="0"/>
          <w:numId w:val="5"/>
        </w:numPr>
        <w:tabs>
          <w:tab w:val="clear" w:pos="709"/>
          <w:tab w:val="left" w:pos="284" w:leader="none"/>
        </w:tabs>
        <w:ind w:hanging="0" w:start="0" w:end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На момент окончания срока подачи заявок </w:t>
      </w:r>
      <w:r>
        <w:rPr>
          <w:bCs/>
          <w:sz w:val="22"/>
          <w:szCs w:val="22"/>
          <w:lang w:val="ru-RU"/>
        </w:rPr>
        <w:t>03.12.</w:t>
      </w:r>
      <w:r>
        <w:rPr>
          <w:bCs/>
          <w:sz w:val="22"/>
          <w:szCs w:val="22"/>
        </w:rPr>
        <w:t>202</w:t>
      </w:r>
      <w:r>
        <w:rPr>
          <w:bCs/>
          <w:sz w:val="22"/>
          <w:szCs w:val="22"/>
          <w:lang w:val="ru-RU"/>
        </w:rPr>
        <w:t>5</w:t>
      </w:r>
      <w:r>
        <w:rPr>
          <w:bCs/>
          <w:sz w:val="22"/>
          <w:szCs w:val="22"/>
        </w:rPr>
        <w:t xml:space="preserve"> г. 1</w:t>
      </w:r>
      <w:r>
        <w:rPr>
          <w:bCs/>
          <w:sz w:val="22"/>
          <w:szCs w:val="22"/>
          <w:lang w:val="ru-RU"/>
        </w:rPr>
        <w:t>1</w:t>
      </w:r>
      <w:r>
        <w:rPr>
          <w:bCs/>
          <w:sz w:val="22"/>
          <w:szCs w:val="22"/>
        </w:rPr>
        <w:t>:00 (время московское) на</w:t>
      </w:r>
      <w:r>
        <w:rPr>
          <w:bCs/>
          <w:sz w:val="22"/>
          <w:szCs w:val="22"/>
          <w:lang w:val="ru-RU"/>
        </w:rPr>
        <w:t xml:space="preserve">                                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ЕЭТП </w:t>
      </w:r>
      <w:r>
        <w:rPr>
          <w:bCs/>
          <w:iCs/>
          <w:sz w:val="22"/>
          <w:szCs w:val="22"/>
        </w:rPr>
        <w:t>«Росэлторг»</w:t>
      </w:r>
      <w:r>
        <w:rPr>
          <w:bCs/>
          <w:iCs/>
          <w:sz w:val="22"/>
          <w:szCs w:val="22"/>
          <w:lang w:val="ru-RU"/>
        </w:rPr>
        <w:t xml:space="preserve"> </w:t>
      </w:r>
      <w:r>
        <w:rPr>
          <w:bCs/>
          <w:sz w:val="22"/>
          <w:szCs w:val="22"/>
        </w:rPr>
        <w:t>был</w:t>
      </w:r>
      <w:r>
        <w:rPr>
          <w:bCs/>
          <w:sz w:val="22"/>
          <w:szCs w:val="22"/>
          <w:lang w:val="ru-RU"/>
        </w:rPr>
        <w:t>и</w:t>
      </w:r>
      <w:r>
        <w:rPr>
          <w:bCs/>
          <w:sz w:val="22"/>
          <w:szCs w:val="22"/>
        </w:rPr>
        <w:t xml:space="preserve"> подан</w:t>
      </w:r>
      <w:r>
        <w:rPr>
          <w:bCs/>
          <w:sz w:val="22"/>
          <w:szCs w:val="22"/>
          <w:lang w:val="ru-RU"/>
        </w:rPr>
        <w:t>ы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  <w:lang w:val="ru-RU"/>
        </w:rPr>
        <w:t>7</w:t>
      </w:r>
      <w:r>
        <w:rPr>
          <w:bCs/>
          <w:sz w:val="22"/>
          <w:szCs w:val="22"/>
        </w:rPr>
        <w:t xml:space="preserve"> (</w:t>
      </w:r>
      <w:r>
        <w:rPr>
          <w:bCs/>
          <w:sz w:val="22"/>
          <w:szCs w:val="22"/>
          <w:lang w:val="ru-RU"/>
        </w:rPr>
        <w:t>семь</w:t>
      </w:r>
      <w:r>
        <w:rPr>
          <w:bCs/>
          <w:sz w:val="22"/>
          <w:szCs w:val="22"/>
        </w:rPr>
        <w:t>) заяв</w:t>
      </w:r>
      <w:r>
        <w:rPr>
          <w:bCs/>
          <w:sz w:val="22"/>
          <w:szCs w:val="22"/>
          <w:lang w:val="ru-RU"/>
        </w:rPr>
        <w:t>ок</w:t>
      </w:r>
      <w:r>
        <w:rPr>
          <w:bCs/>
          <w:sz w:val="22"/>
          <w:szCs w:val="22"/>
        </w:rPr>
        <w:t xml:space="preserve"> участник</w:t>
      </w:r>
      <w:r>
        <w:rPr>
          <w:bCs/>
          <w:sz w:val="22"/>
          <w:szCs w:val="22"/>
          <w:lang w:val="ru-RU"/>
        </w:rPr>
        <w:t>ов</w:t>
      </w:r>
      <w:r>
        <w:rPr/>
        <w:t>:</w:t>
      </w:r>
    </w:p>
    <w:tbl>
      <w:tblPr>
        <w:tblW w:w="1020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5386"/>
        <w:gridCol w:w="3970"/>
      </w:tblGrid>
      <w:tr>
        <w:trPr>
          <w:trHeight w:val="144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№ </w:t>
            </w:r>
            <w:r>
              <w:rPr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Наименование участника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  <w:color w:val="000000"/>
                <w:sz w:val="22"/>
                <w:szCs w:val="22"/>
              </w:rPr>
              <w:t>Дата и время подачи заявки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«КОРУНД»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30.11.2025 в 17:18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ООО «АНТАЛЕКС»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02.12.2025 в 16:02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ИП ШУВАЛОВ АЛЕКСЕЙ ЮРЬЕВИЧ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03.12.2025 в 09:01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«АЛЕАНТ-ЮГ»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03.12.2025 в 10:09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«ТИТУЛ»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03.12.2025 в 10:06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«ЭТМ»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03.12.2025 в 10:16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«ПРО-ИНСТРУМЕНТ»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03.12.2025 в 10:58 (МСК)</w:t>
            </w:r>
          </w:p>
        </w:tc>
      </w:tr>
    </w:tbl>
    <w:p>
      <w:pPr>
        <w:pStyle w:val="Normal"/>
        <w:tabs>
          <w:tab w:val="clear" w:pos="709"/>
          <w:tab w:val="left" w:pos="567" w:leader="none"/>
          <w:tab w:val="left" w:pos="993" w:leader="none"/>
          <w:tab w:val="left" w:pos="1276" w:leader="none"/>
          <w:tab w:val="left" w:pos="1418" w:leader="none"/>
        </w:tabs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  <w:lang w:val="en-US"/>
        </w:rPr>
        <w:t>III</w:t>
      </w:r>
      <w:r>
        <w:rPr>
          <w:b/>
          <w:sz w:val="22"/>
          <w:szCs w:val="22"/>
        </w:rPr>
        <w:t>.</w:t>
        <w:tab/>
        <w:t xml:space="preserve">РАССМОТРЕНИЕ ЗАЯВОК УЧАСТНИКОВ: </w:t>
      </w:r>
    </w:p>
    <w:p>
      <w:pPr>
        <w:pStyle w:val="Normal"/>
        <w:tabs>
          <w:tab w:val="clear" w:pos="709"/>
          <w:tab w:val="left" w:pos="567" w:leader="none"/>
          <w:tab w:val="left" w:pos="993" w:leader="none"/>
          <w:tab w:val="left" w:pos="1276" w:leader="none"/>
          <w:tab w:val="left" w:pos="1418" w:leader="none"/>
        </w:tabs>
        <w:jc w:val="both"/>
        <w:rPr/>
      </w:pPr>
      <w:r>
        <w:rPr>
          <w:sz w:val="22"/>
          <w:szCs w:val="22"/>
        </w:rPr>
        <w:t>1. 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решение.</w:t>
      </w:r>
    </w:p>
    <w:p>
      <w:pPr>
        <w:pStyle w:val="Normal"/>
        <w:tabs>
          <w:tab w:val="clear" w:pos="709"/>
          <w:tab w:val="left" w:pos="284" w:leader="none"/>
        </w:tabs>
        <w:jc w:val="both"/>
        <w:rPr/>
      </w:pPr>
      <w:r>
        <w:rPr>
          <w:b/>
          <w:sz w:val="22"/>
          <w:szCs w:val="22"/>
          <w:lang w:val="en-US"/>
        </w:rPr>
        <w:t>IV</w:t>
      </w:r>
      <w:r>
        <w:rPr>
          <w:b/>
          <w:sz w:val="22"/>
          <w:szCs w:val="22"/>
        </w:rPr>
        <w:t>. РЕШЕНИЕ ПОСТОЯННО ДЕЙСТВУЮЩЕЙ ЗАКУПОЧНОЙ КОМИССИИ:</w:t>
      </w:r>
    </w:p>
    <w:p>
      <w:pPr>
        <w:pStyle w:val="Normal"/>
        <w:tabs>
          <w:tab w:val="clear" w:pos="709"/>
          <w:tab w:val="left" w:pos="284" w:leader="none"/>
        </w:tabs>
        <w:jc w:val="both"/>
        <w:rPr/>
      </w:pPr>
      <w:r>
        <w:rPr>
          <w:b/>
          <w:sz w:val="22"/>
          <w:szCs w:val="22"/>
        </w:rPr>
        <w:t xml:space="preserve">1. </w:t>
      </w:r>
      <w:r>
        <w:rPr>
          <w:bCs/>
          <w:iCs/>
          <w:sz w:val="22"/>
          <w:szCs w:val="22"/>
        </w:rPr>
        <w:t>Перенести сроки проведения запроса предложений в электронной форме, а именно: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- Дата рассмотрения заявок: 15.12.2025;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- Дата переторжки: 16.12.2025;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- Дата подведения итогов: 16.12.2025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Итоги голосования: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За – 6 голоса (-ов) 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sz w:val="22"/>
          <w:szCs w:val="22"/>
        </w:rPr>
        <w:t>Против – 0 голоса (-ов)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/>
          <w:sz w:val="22"/>
          <w:szCs w:val="22"/>
        </w:rPr>
      </w:pPr>
      <w:r>
        <w:rPr>
          <w:sz w:val="22"/>
          <w:szCs w:val="22"/>
        </w:rPr>
        <w:t>Воздержался – 0 голос (-ов)</w:t>
      </w:r>
    </w:p>
    <w:p>
      <w:pPr>
        <w:pStyle w:val="Normal"/>
        <w:tabs>
          <w:tab w:val="clear" w:pos="709"/>
          <w:tab w:val="left" w:pos="284" w:leader="none"/>
        </w:tabs>
        <w:jc w:val="both"/>
        <w:rPr/>
      </w:pPr>
      <w:r>
        <w:rPr>
          <w:sz w:val="22"/>
          <w:szCs w:val="22"/>
        </w:rPr>
        <w:t xml:space="preserve">2. </w:t>
      </w:r>
      <w:r>
        <w:rPr>
          <w:bCs/>
          <w:sz w:val="22"/>
          <w:szCs w:val="22"/>
        </w:rPr>
        <w:t>П</w:t>
      </w:r>
      <w:r>
        <w:rPr>
          <w:bCs/>
          <w:iCs/>
          <w:sz w:val="22"/>
          <w:szCs w:val="22"/>
        </w:rPr>
        <w:t>ринять к сведению мнения экспертов.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Итоги голосования: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За – 6 голоса (-ов)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sz w:val="22"/>
          <w:szCs w:val="22"/>
        </w:rPr>
      </w:pPr>
      <w:r>
        <w:rPr>
          <w:sz w:val="22"/>
          <w:szCs w:val="22"/>
        </w:rPr>
        <w:t>Воздержался – 0 голоса (-ов).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3.</w:t>
        <w:tab/>
        <w:t xml:space="preserve">Признать заявки участников: 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«КОРУНД»</w:t>
      </w:r>
      <w:r>
        <w:rPr>
          <w:bCs/>
          <w:sz w:val="22"/>
          <w:szCs w:val="22"/>
        </w:rPr>
        <w:t xml:space="preserve"> (</w:t>
      </w:r>
      <w:r>
        <w:rPr>
          <w:b/>
          <w:sz w:val="22"/>
          <w:szCs w:val="22"/>
        </w:rPr>
        <w:t>1</w:t>
      </w:r>
      <w:r>
        <w:rPr>
          <w:sz w:val="22"/>
          <w:szCs w:val="22"/>
        </w:rPr>
        <w:t xml:space="preserve">. Указанный срок действия заявки в форме 2 «Письмо о подаче оферты» (до 30.12.2025 г) менее чем 60 календарных дней со дня, следующего за днем окончания подачи заявок (03.12.2025 г), что не соответствует п. 3.1.2 Документации о закупке. </w:t>
      </w:r>
      <w:r>
        <w:rPr>
          <w:b/>
          <w:sz w:val="22"/>
          <w:szCs w:val="22"/>
        </w:rPr>
        <w:t>2</w:t>
      </w:r>
      <w:r>
        <w:rPr>
          <w:sz w:val="22"/>
          <w:szCs w:val="22"/>
        </w:rPr>
        <w:t xml:space="preserve">. Не представлены документы, подтверждающие опыт поставки аналогичного товара за последние 3 года, что не соответствует п.10 Приложения №1 «Спецификация и требования к закупаемой продукции» к Документации о закупке. </w:t>
      </w:r>
      <w:r>
        <w:rPr>
          <w:b/>
          <w:sz w:val="22"/>
          <w:szCs w:val="22"/>
        </w:rPr>
        <w:t>3</w:t>
      </w:r>
      <w:r>
        <w:rPr>
          <w:sz w:val="22"/>
          <w:szCs w:val="22"/>
        </w:rPr>
        <w:t xml:space="preserve">. Не представлена форма 8 «Согласие Участника закупочной процедуры налоговым органам на разглашение сведений, составляющих налоговую тайну», что не соответствует п.п.8 п.8 Приложения № 2 к части II «Информационная карта закупки» Документации о закупке. </w:t>
      </w:r>
      <w:r>
        <w:rPr>
          <w:b/>
          <w:sz w:val="22"/>
          <w:szCs w:val="22"/>
        </w:rPr>
        <w:t>4.</w:t>
      </w:r>
      <w:r>
        <w:rPr>
          <w:sz w:val="22"/>
          <w:szCs w:val="22"/>
        </w:rPr>
        <w:t xml:space="preserve"> В техническом предложении Участник не указал период действия договора и согласие с условиями проекта договора, что не соответствует п. 13, п. 16 Приложения 1 «Спецификация и требования к закупаемой продукции» Документации о закупке, п. 5 инструкции по заполнению формы 3 «Техническое предложение» документации о закупке. </w:t>
      </w:r>
      <w:r>
        <w:rPr>
          <w:b/>
          <w:sz w:val="22"/>
          <w:szCs w:val="22"/>
        </w:rPr>
        <w:t>5.</w:t>
      </w:r>
      <w:r>
        <w:rPr>
          <w:sz w:val="22"/>
          <w:szCs w:val="22"/>
        </w:rPr>
        <w:t xml:space="preserve"> В техническом предложении Участник не указал гарантийный срок, срок службы и наименование изготовителя, что не соответствует п. 7 Инструкции по заполнению формы 3 документации о закупке).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>
        <w:rPr>
          <w:b/>
          <w:sz w:val="22"/>
          <w:szCs w:val="22"/>
        </w:rPr>
        <w:t>ООО «АНТАЛЕКС»</w:t>
      </w:r>
      <w:r>
        <w:rPr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1</w:t>
      </w:r>
      <w:r>
        <w:rPr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Не представлены документы, подтверждающие опыт поставки аналогичного товара за последние 3 года, что не соответствует п.10 Приложения №1 «Спецификация и требования к закупаемой продукции» к Документации о закупке. </w:t>
      </w:r>
      <w:r>
        <w:rPr>
          <w:b/>
          <w:sz w:val="22"/>
          <w:szCs w:val="22"/>
        </w:rPr>
        <w:t>2.</w:t>
      </w:r>
      <w:r>
        <w:rPr>
          <w:sz w:val="22"/>
          <w:szCs w:val="22"/>
        </w:rPr>
        <w:t xml:space="preserve"> В техническом предложении Участник не указал период действия договора и согласие с условиями проекта договора, что не соответствует п. 13, п. 16 Приложения 1 «Спецификация и требования к закупаемой продукции» Документации о закупке, п. 5 инструкции по заполнению формы 3 «Техническое предложение» документации о закупке. </w:t>
      </w:r>
      <w:r>
        <w:rPr>
          <w:b/>
          <w:sz w:val="22"/>
          <w:szCs w:val="22"/>
        </w:rPr>
        <w:t>3.</w:t>
      </w:r>
      <w:r>
        <w:rPr>
          <w:sz w:val="22"/>
          <w:szCs w:val="22"/>
        </w:rPr>
        <w:t xml:space="preserve"> В техническом предложении Участник не указал гарантийный срок, срок службы, что не соответствует п. 7 Инструкции по заполнению формы 3 документации о закупке)</w:t>
      </w:r>
      <w:r>
        <w:rPr>
          <w:bCs/>
          <w:sz w:val="22"/>
          <w:szCs w:val="22"/>
        </w:rPr>
        <w:t xml:space="preserve"> 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>
        <w:rPr>
          <w:b/>
          <w:sz w:val="22"/>
          <w:szCs w:val="22"/>
        </w:rPr>
        <w:t>ИП ШУВАЛОВ АЛЕКСЕЙ ЮРЬЕВИЧ</w:t>
      </w:r>
      <w:r>
        <w:rPr>
          <w:sz w:val="22"/>
          <w:szCs w:val="22"/>
        </w:rPr>
        <w:t xml:space="preserve"> (не представлена заявка в составе неценового предложения участника; </w:t>
      </w:r>
      <w:r>
        <w:rPr>
          <w:bCs/>
          <w:sz w:val="22"/>
          <w:szCs w:val="22"/>
        </w:rPr>
        <w:t>во вкладке «Заявка поставщика» отсутствуют документы, установленные в соответствии с требованиями настоящей Документации, что не соответствует п. 4.1.2 Документации о закупке, а также п. 3.1, п. 3.4. Документации о закупке)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«АЛЕАНТ-ЮГ»</w:t>
      </w:r>
      <w:r>
        <w:rPr>
          <w:sz w:val="22"/>
          <w:szCs w:val="22"/>
        </w:rPr>
        <w:t xml:space="preserve"> (</w:t>
      </w:r>
      <w:r>
        <w:rPr>
          <w:b/>
          <w:sz w:val="22"/>
          <w:szCs w:val="22"/>
        </w:rPr>
        <w:t>1</w:t>
      </w:r>
      <w:r>
        <w:rPr>
          <w:sz w:val="22"/>
          <w:szCs w:val="22"/>
        </w:rPr>
        <w:t xml:space="preserve">. В составе заявки не представлены документы, подтверждающие его правоспособность, что не соответствует п.2 Приложения № 2 к части II «Информационная карта закупки» Документации о закупке. </w:t>
      </w:r>
      <w:r>
        <w:rPr>
          <w:b/>
          <w:sz w:val="22"/>
          <w:szCs w:val="22"/>
        </w:rPr>
        <w:t>2</w:t>
      </w:r>
      <w:r>
        <w:rPr>
          <w:sz w:val="22"/>
          <w:szCs w:val="22"/>
        </w:rPr>
        <w:t xml:space="preserve">. Не представлены документы, подтверждающие финансовую устойчивость Участника закупки, что не соответствует п.3 Приложения № 2 к части II «Информационная карта закупки» Документации о закупке. </w:t>
      </w:r>
      <w:r>
        <w:rPr>
          <w:b/>
          <w:sz w:val="22"/>
          <w:szCs w:val="22"/>
        </w:rPr>
        <w:t>3</w:t>
      </w:r>
      <w:r>
        <w:rPr>
          <w:sz w:val="22"/>
          <w:szCs w:val="22"/>
        </w:rPr>
        <w:t>. Не представлены формы для заполнения участниками закупки 1-8 в составе заявки на участие в закупке, что не соответствует п.8 Приложения № 2 к части II «Информационная карта закупки» Документации о закупке. 4. Не представлены документы, подтверждающие опыт поставки аналогичного товара за последние 3 года, что не соответствует п.10 Приложения №1 «Спецификация и требования к закупаемой продукции» к Документации о закупке)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>
        <w:rPr>
          <w:b/>
          <w:sz w:val="22"/>
          <w:szCs w:val="22"/>
        </w:rPr>
        <w:t>ООО «ТИТУЛ»</w:t>
      </w:r>
      <w:r>
        <w:rPr>
          <w:sz w:val="22"/>
          <w:szCs w:val="22"/>
        </w:rPr>
        <w:t xml:space="preserve"> (</w:t>
      </w:r>
      <w:r>
        <w:rPr>
          <w:b/>
          <w:sz w:val="22"/>
          <w:szCs w:val="22"/>
        </w:rPr>
        <w:t>1</w:t>
      </w:r>
      <w:r>
        <w:rPr>
          <w:sz w:val="22"/>
          <w:szCs w:val="22"/>
        </w:rPr>
        <w:t xml:space="preserve">. В техническом предложении Участник не указал период действия договора и согласие с условиями проекта договора, что не соответствует п. 13, п. 16 Приложения 1 «Спецификация и требования к закупаемой продукции» Документации о закупке, п. 5 инструкции по заполнению формы 3 «Техническое предложение» документации о закупке. </w:t>
      </w:r>
      <w:r>
        <w:rPr>
          <w:b/>
          <w:sz w:val="22"/>
          <w:szCs w:val="22"/>
        </w:rPr>
        <w:t>2.</w:t>
      </w:r>
      <w:r>
        <w:rPr>
          <w:sz w:val="22"/>
          <w:szCs w:val="22"/>
        </w:rPr>
        <w:t xml:space="preserve"> В техническом предложении Участник не указал гарантийный срок, срок службы, что не соответствует п. 7 Инструкции по заполнению формы 3 документации о закупке. </w:t>
      </w:r>
      <w:r>
        <w:rPr>
          <w:b/>
          <w:sz w:val="22"/>
          <w:szCs w:val="22"/>
        </w:rPr>
        <w:t>3</w:t>
      </w:r>
      <w:r>
        <w:rPr>
          <w:sz w:val="22"/>
          <w:szCs w:val="22"/>
        </w:rPr>
        <w:t xml:space="preserve">. </w:t>
      </w:r>
      <w:r>
        <w:rPr>
          <w:rFonts w:eastAsia="Calibri"/>
          <w:color w:val="00000A"/>
          <w:sz w:val="22"/>
          <w:szCs w:val="22"/>
        </w:rPr>
        <w:t>Предлагаемые в техническом предложении Участника технические характеристики позиции № 1 п.1 (мощность бензопилы 2 л.с/1.5 кВт, объем двигателя 31,8 см3) не соответствуют установленным требованиям в п.п.1 п. 1 Приложения №1 «Спецификация и требования к закупаемой продукции» к Документации о закупке (мощность бензопилы 2.2 л.с/ 1.6 кВт,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color w:val="00000A"/>
          <w:sz w:val="22"/>
          <w:szCs w:val="22"/>
        </w:rPr>
        <w:t xml:space="preserve">объем двигателя 36 см3). </w:t>
      </w:r>
    </w:p>
    <w:p>
      <w:pPr>
        <w:pStyle w:val="Normal"/>
        <w:jc w:val="both"/>
        <w:rPr/>
      </w:pPr>
      <w:r>
        <w:rPr>
          <w:bCs/>
          <w:sz w:val="22"/>
          <w:szCs w:val="22"/>
        </w:rPr>
        <w:t xml:space="preserve">- </w:t>
      </w:r>
      <w:r>
        <w:rPr>
          <w:b/>
          <w:sz w:val="22"/>
          <w:szCs w:val="22"/>
        </w:rPr>
        <w:t>ООО «ЭТМ»</w:t>
      </w:r>
      <w:r>
        <w:rPr>
          <w:sz w:val="22"/>
          <w:szCs w:val="22"/>
        </w:rPr>
        <w:t xml:space="preserve"> (</w:t>
      </w:r>
      <w:r>
        <w:rPr>
          <w:rFonts w:eastAsia="Calibri"/>
          <w:b/>
          <w:sz w:val="22"/>
          <w:szCs w:val="22"/>
        </w:rPr>
        <w:t>1</w:t>
      </w:r>
      <w:r>
        <w:rPr>
          <w:rFonts w:eastAsia="Calibri"/>
          <w:sz w:val="22"/>
          <w:szCs w:val="22"/>
        </w:rPr>
        <w:t xml:space="preserve">. </w:t>
      </w:r>
      <w:r>
        <w:rPr>
          <w:rFonts w:eastAsia="Calibri"/>
          <w:color w:val="00000A"/>
          <w:sz w:val="22"/>
          <w:szCs w:val="22"/>
        </w:rPr>
        <w:t>Предлагаемые в техническом предложении Участника</w:t>
      </w:r>
      <w:r>
        <w:rPr>
          <w:rFonts w:eastAsia="Calibri"/>
          <w:sz w:val="22"/>
          <w:szCs w:val="22"/>
        </w:rPr>
        <w:t xml:space="preserve"> технические характеристики позиции № 1 п.1 (мощность бензопилы 2 л.с/1.5 кВт, объем двигателя 41 см3, количество звеньев на цепи 53, количество оборотов на холостом ходу 3000) не соответствуют установленным требованиям в п.п. 1 п. 1 Приложения №1 «Спецификация и требования к закупаемой продукции» к Документации о закупке (мощность бензопилы 2.2 л.с/ 1.6 кВт, объем двигателя 36 см3, количество звеньев на цепи 50, количество оборотов на холостом ходу 2800); </w:t>
      </w:r>
      <w:r>
        <w:rPr>
          <w:rFonts w:eastAsia="Calibri"/>
          <w:b/>
          <w:sz w:val="22"/>
          <w:szCs w:val="22"/>
        </w:rPr>
        <w:t>2.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color w:val="00000A"/>
          <w:sz w:val="22"/>
          <w:szCs w:val="22"/>
        </w:rPr>
        <w:t>Предлагаемые в техническом предложении Участника</w:t>
      </w:r>
      <w:r>
        <w:rPr>
          <w:rFonts w:eastAsia="Calibri"/>
          <w:sz w:val="22"/>
          <w:szCs w:val="22"/>
        </w:rPr>
        <w:t xml:space="preserve"> технические характеристики позиции №2 п.1 (мощность бензопилы 2.7 л.с/2 кВт, объем двигателя 40.2 см3, количество звеньев на цепи 61) не соответствуют установленным требованиям в п.п 2 п. 1 Приложения №1 «Спецификация и требования к закупаемой продукции» к Документации о закупке (мощность бензопилы 3.1 л.с/2.3 кВт, объем двигателя 45.4 см3, количество звеньев на цепи 68</w:t>
      </w:r>
      <w:r>
        <w:rPr>
          <w:sz w:val="22"/>
          <w:szCs w:val="22"/>
        </w:rPr>
        <w:t>)</w:t>
      </w:r>
    </w:p>
    <w:p>
      <w:pPr>
        <w:pStyle w:val="Normal"/>
        <w:tabs>
          <w:tab w:val="clear" w:pos="709"/>
          <w:tab w:val="left" w:pos="284" w:leader="none"/>
        </w:tabs>
        <w:jc w:val="both"/>
        <w:rPr/>
      </w:pPr>
      <w:r>
        <w:rPr>
          <w:sz w:val="22"/>
          <w:szCs w:val="22"/>
        </w:rPr>
        <w:t xml:space="preserve">- </w:t>
      </w:r>
      <w:r>
        <w:rPr>
          <w:b/>
          <w:sz w:val="22"/>
          <w:szCs w:val="22"/>
        </w:rPr>
        <w:t>ООО «ПРО-ИНСТРУМЕНТ»</w:t>
      </w:r>
      <w:r>
        <w:rPr>
          <w:sz w:val="22"/>
          <w:szCs w:val="22"/>
        </w:rPr>
        <w:t xml:space="preserve"> (Не представлены документы, подтверждающие опыт поставки аналогичного товара за последние 3 года, что не соответствует п.10 Приложения №1 «Спецификация и требования к закупаемой продукции» к Документации о закупке)</w:t>
      </w:r>
    </w:p>
    <w:p>
      <w:pPr>
        <w:pStyle w:val="Normal"/>
        <w:tabs>
          <w:tab w:val="clear" w:pos="709"/>
          <w:tab w:val="left" w:pos="284" w:leader="none"/>
        </w:tabs>
        <w:jc w:val="both"/>
        <w:rPr/>
      </w:pPr>
      <w:r>
        <w:rPr>
          <w:bCs/>
          <w:sz w:val="22"/>
          <w:szCs w:val="22"/>
        </w:rPr>
        <w:t>несоответствующими требованиям документации о закупке, отклонить от дальнейшего рассмотрения.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/>
          <w:i/>
          <w:i/>
          <w:color w:val="FF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Итоги голосования:</w:t>
      </w:r>
    </w:p>
    <w:p>
      <w:pPr>
        <w:pStyle w:val="Normal"/>
        <w:jc w:val="both"/>
        <w:rPr/>
      </w:pPr>
      <w:r>
        <w:rPr>
          <w:sz w:val="22"/>
          <w:szCs w:val="22"/>
        </w:rPr>
        <w:t>За – 6 голоса (-ов)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Против – 0 голоса (-ов)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Cs/>
          <w:sz w:val="22"/>
          <w:szCs w:val="22"/>
        </w:rPr>
      </w:pPr>
      <w:r>
        <w:rPr>
          <w:sz w:val="22"/>
          <w:szCs w:val="22"/>
        </w:rPr>
        <w:t>Воздержался – 0 голоса (-ов)</w:t>
      </w:r>
    </w:p>
    <w:p>
      <w:pPr>
        <w:pStyle w:val="Normal"/>
        <w:tabs>
          <w:tab w:val="clear" w:pos="709"/>
          <w:tab w:val="left" w:pos="284" w:leader="none"/>
        </w:tabs>
        <w:jc w:val="both"/>
        <w:rPr/>
      </w:pPr>
      <w:r>
        <w:rPr>
          <w:bCs/>
          <w:sz w:val="22"/>
          <w:szCs w:val="22"/>
        </w:rPr>
        <w:t xml:space="preserve">4. </w:t>
      </w:r>
      <w:r>
        <w:rPr>
          <w:bCs/>
          <w:sz w:val="22"/>
          <w:szCs w:val="22"/>
          <w:lang w:val="en-US"/>
        </w:rPr>
        <w:t xml:space="preserve">Руководствуясь п. 7.5.1 «б» Единого стандарта закупок ПАО «Россети», признать </w:t>
      </w:r>
      <w:r>
        <w:rPr>
          <w:bCs/>
          <w:sz w:val="22"/>
          <w:szCs w:val="22"/>
        </w:rPr>
        <w:t>запрос предложений</w:t>
      </w:r>
      <w:r>
        <w:rPr>
          <w:bCs/>
          <w:sz w:val="22"/>
          <w:szCs w:val="22"/>
          <w:lang w:val="en-US"/>
        </w:rPr>
        <w:t xml:space="preserve"> в электронной форме № 32515431446 на право</w:t>
      </w:r>
      <w:r>
        <w:rPr>
          <w:bCs/>
          <w:sz w:val="22"/>
          <w:szCs w:val="22"/>
        </w:rPr>
        <w:t xml:space="preserve"> заключения договора </w:t>
      </w:r>
      <w:r>
        <w:rPr>
          <w:sz w:val="22"/>
          <w:szCs w:val="22"/>
        </w:rPr>
        <w:t>на поставку бензоинструмента для бригады по расчистке ВЛ филиала АО «Россети Кубань» Адыгейские электрические сети</w:t>
      </w:r>
      <w:r>
        <w:rPr>
          <w:bCs/>
          <w:sz w:val="22"/>
          <w:szCs w:val="22"/>
          <w:lang w:val="en-US"/>
        </w:rPr>
        <w:t xml:space="preserve"> - несостоявшимся.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84" w:leader="none"/>
        </w:tabs>
        <w:ind w:hanging="0" w:start="0" w:end="0"/>
        <w:jc w:val="both"/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Поручить департаменту закупок, логистики и МТО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  <w:lang w:val="en-US"/>
        </w:rPr>
        <w:t xml:space="preserve">Предприятия </w:t>
      </w:r>
      <w:r>
        <w:rPr>
          <w:bCs/>
          <w:sz w:val="22"/>
          <w:szCs w:val="22"/>
        </w:rPr>
        <w:t xml:space="preserve">филиала ПАО </w:t>
      </w:r>
      <w:r>
        <w:rPr>
          <w:sz w:val="22"/>
          <w:szCs w:val="22"/>
        </w:rPr>
        <w:t xml:space="preserve">Россети Юг» - «Кубаньэнерго» </w:t>
      </w:r>
      <w:r>
        <w:rPr>
          <w:bCs/>
          <w:sz w:val="22"/>
          <w:szCs w:val="22"/>
          <w:lang w:val="en-US"/>
        </w:rPr>
        <w:t>Адыгейские электрические сети провести анализ документации о закупке (технической и коммерческой частей) и целесообразности объявления повторной закупки на тех же условиях либо целесообразности их изменений.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/>
          <w:i/>
          <w:i/>
          <w:color w:val="FF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Итоги голосования:</w:t>
      </w:r>
    </w:p>
    <w:p>
      <w:pPr>
        <w:pStyle w:val="Normal"/>
        <w:jc w:val="both"/>
        <w:rPr/>
      </w:pPr>
      <w:r>
        <w:rPr>
          <w:sz w:val="22"/>
          <w:szCs w:val="22"/>
        </w:rPr>
        <w:t>За – 6 голоса (-ов)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Против – 0 голоса (-ов)</w:t>
      </w:r>
    </w:p>
    <w:p>
      <w:pPr>
        <w:pStyle w:val="Normal"/>
        <w:tabs>
          <w:tab w:val="clear" w:pos="709"/>
          <w:tab w:val="left" w:pos="284" w:leader="none"/>
        </w:tabs>
        <w:jc w:val="both"/>
        <w:rPr/>
      </w:pPr>
      <w:r>
        <w:rPr>
          <w:sz w:val="22"/>
          <w:szCs w:val="22"/>
        </w:rPr>
        <w:t>Воздержался – 0 голоса (-ов).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  <w:t>Решение по вопросу принято.</w:t>
      </w:r>
    </w:p>
    <w:p>
      <w:pPr>
        <w:pStyle w:val="Normal"/>
        <w:tabs>
          <w:tab w:val="clear" w:pos="709"/>
          <w:tab w:val="left" w:pos="284" w:leader="none"/>
        </w:tabs>
        <w:jc w:val="both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tbl>
      <w:tblPr>
        <w:tblW w:w="425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5645"/>
        <w:gridCol w:w="3030"/>
      </w:tblGrid>
      <w:tr>
        <w:trPr>
          <w:trHeight w:val="427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ПДЗК: </w:t>
            </w:r>
          </w:p>
          <w:p>
            <w:pPr>
              <w:pStyle w:val="Normal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В.А. Коржаневский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  <w:tr>
        <w:trPr>
          <w:trHeight w:val="224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Ответственный секретарь ПДЗК (без права голоса): 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А.Н. Гостева 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А.М. Тлепсук, (861) 212-27-66</w:t>
      </w:r>
    </w:p>
    <w:sectPr>
      <w:footerReference w:type="default" r:id="rId4"/>
      <w:type w:val="nextPage"/>
      <w:pgSz w:w="11906" w:h="16838"/>
      <w:pgMar w:left="993" w:right="707" w:gutter="0" w:header="0" w:top="709" w:footer="0" w:bottom="142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i/>
        <w:i/>
        <w:sz w:val="18"/>
        <w:szCs w:val="18"/>
      </w:rPr>
    </w:pPr>
    <w:r>
      <w:rPr>
        <w:i/>
        <w:sz w:val="18"/>
        <w:szCs w:val="18"/>
      </w:rPr>
      <w:t xml:space="preserve">ПРОТОКОЛ ЗАСЕДАНИЯ ПОСТОЯННО ДЕЙСТВУЮЩЕЙ ЗАКУПОЧНОЙ КОМИССИИ </w:t>
    </w:r>
    <w:r>
      <w:rPr>
        <w:bCs/>
        <w:i/>
        <w:sz w:val="18"/>
        <w:szCs w:val="18"/>
      </w:rPr>
      <w:t>32515431446/1</w:t>
    </w:r>
  </w:p>
  <w:p>
    <w:pPr>
      <w:pStyle w:val="Footer"/>
      <w:rPr>
        <w:i/>
        <w:i/>
        <w:sz w:val="18"/>
        <w:szCs w:val="18"/>
      </w:rPr>
    </w:pPr>
    <w:r>
      <w:rPr>
        <w:i/>
        <w:sz w:val="18"/>
        <w:szCs w:val="18"/>
      </w:rPr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755" w:hanging="360"/>
      </w:pPr>
      <w:rPr/>
    </w:lvl>
  </w:abstractNum>
  <w:abstractNum w:abstractNumId="4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  <w:b w:val="fals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jc w:val="center"/>
      <w:textAlignment w:val="baseline"/>
      <w:outlineLvl w:val="0"/>
    </w:pPr>
    <w:rPr>
      <w:rFonts w:ascii="Times New Roman" w:hAnsi="Times New Roman" w:cs="Times New Roman"/>
      <w:szCs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verflowPunct w:val="false"/>
      <w:autoSpaceDE w:val="false"/>
      <w:jc w:val="center"/>
      <w:textAlignment w:val="baseline"/>
      <w:outlineLvl w:val="1"/>
    </w:pPr>
    <w:rPr>
      <w:rFonts w:ascii="Times New Roman" w:hAnsi="Times New Roman" w:cs="Times New Roman"/>
      <w:b/>
      <w:bCs/>
      <w:sz w:val="28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verflowPunct w:val="false"/>
      <w:autoSpaceDE w:val="false"/>
      <w:ind w:hanging="0" w:start="-136" w:end="-52"/>
      <w:jc w:val="center"/>
      <w:textAlignment w:val="baseline"/>
      <w:outlineLvl w:val="2"/>
    </w:pPr>
    <w:rPr>
      <w:rFonts w:ascii="Times New Roman" w:hAnsi="Times New Roman" w:cs="Times New Roman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352" w:end="0"/>
      <w:jc w:val="both"/>
      <w:outlineLvl w:val="3"/>
    </w:pPr>
    <w:rPr>
      <w:b/>
      <w:bCs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outlineLvl w:val="5"/>
    </w:pPr>
    <w:rPr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914" w:start="0" w:end="0"/>
      <w:outlineLvl w:val="7"/>
    </w:pPr>
    <w:rPr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Cs w:val="20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>
      <w:rFonts w:ascii="Wingdings" w:hAnsi="Wingdings" w:cs="Wingdings"/>
      <w:b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b w:val="false"/>
      <w:u w:val="none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Times New Roman" w:hAnsi="Times New Roman" w:eastAsia="Times New Roman" w:cs="Times New Roman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Верхний колонтитул Знак"/>
    <w:qFormat/>
    <w:rPr>
      <w:lang w:val="ru-RU" w:bidi="ar-SA"/>
    </w:rPr>
  </w:style>
  <w:style w:type="character" w:styleId="2">
    <w:name w:val=" Знак Знак2"/>
    <w:qFormat/>
    <w:rPr>
      <w:lang w:val="ru-RU" w:bidi="ar-SA"/>
    </w:rPr>
  </w:style>
  <w:style w:type="character" w:styleId="Style7">
    <w:name w:val="Основной текст с отступом Знак"/>
    <w:qFormat/>
    <w:rPr>
      <w:sz w:val="24"/>
    </w:rPr>
  </w:style>
  <w:style w:type="character" w:styleId="3">
    <w:name w:val="Основной текст 3 Знак"/>
    <w:qFormat/>
    <w:rPr>
      <w:sz w:val="26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character" w:styleId="Style8">
    <w:name w:val="Текст Знак"/>
    <w:qFormat/>
    <w:rPr>
      <w:rFonts w:ascii="Calibri" w:hAnsi="Calibri" w:eastAsia="Calibri" w:cs="Calibri"/>
      <w:sz w:val="22"/>
      <w:szCs w:val="21"/>
      <w:lang w:val="en-US"/>
    </w:rPr>
  </w:style>
  <w:style w:type="character" w:styleId="notice-number3">
    <w:name w:val="notice-number3"/>
    <w:qFormat/>
    <w:rPr/>
  </w:style>
  <w:style w:type="character" w:styleId="Style9">
    <w:name w:val="Абзац списка Знак"/>
    <w:qFormat/>
    <w:rPr>
      <w:sz w:val="24"/>
      <w:szCs w:val="24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1">
    <w:name w:val="Основной текст Знак1"/>
    <w:qFormat/>
    <w:rPr>
      <w:rFonts w:ascii="Times New Roman" w:hAnsi="Times New Roman" w:cs="Times New Roman"/>
      <w:sz w:val="23"/>
      <w:szCs w:val="23"/>
      <w:shd w:fill="FFFFFF" w:val="clear"/>
    </w:rPr>
  </w:style>
  <w:style w:type="character" w:styleId="Style10">
    <w:name w:val="Нижний колонтитул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  <w:szCs w:val="20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 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ascii="Arial Unicode MS" w:hAnsi="Arial Unicode MS" w:eastAsia="Arial Unicode MS" w:cs="Arial Unicode MS"/>
    </w:rPr>
  </w:style>
  <w:style w:type="paragraph" w:styleId="31">
    <w:name w:val="Основной текст 3"/>
    <w:basedOn w:val="Normal"/>
    <w:qFormat/>
    <w:pPr>
      <w:jc w:val="both"/>
    </w:pPr>
    <w:rPr>
      <w:sz w:val="26"/>
      <w:szCs w:val="20"/>
      <w:lang w:val="en-US"/>
    </w:rPr>
  </w:style>
  <w:style w:type="paragraph" w:styleId="BodyTextIndent">
    <w:name w:val="Body Text Indent"/>
    <w:basedOn w:val="Normal"/>
    <w:pPr>
      <w:ind w:hanging="0" w:start="567" w:end="0"/>
      <w:jc w:val="both"/>
    </w:pPr>
    <w:rPr>
      <w:szCs w:val="20"/>
      <w:lang w:val="en-US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</w:rPr>
  </w:style>
  <w:style w:type="paragraph" w:styleId="Normal1">
    <w:name w:val="Normal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22">
    <w:name w:val="Основной текст 2"/>
    <w:basedOn w:val="Normal"/>
    <w:qFormat/>
    <w:pPr>
      <w:jc w:val="center"/>
    </w:pPr>
    <w:rPr/>
  </w:style>
  <w:style w:type="paragraph" w:styleId="Style11">
    <w:name w:val="Цитата"/>
    <w:basedOn w:val="Normal"/>
    <w:qFormat/>
    <w:pPr>
      <w:ind w:hanging="0" w:start="360" w:end="141"/>
    </w:pPr>
    <w:rPr/>
  </w:style>
  <w:style w:type="paragraph" w:styleId="23">
    <w:name w:val="Основной текст с отступом 2"/>
    <w:basedOn w:val="Normal"/>
    <w:qFormat/>
    <w:pPr>
      <w:ind w:hanging="0" w:start="912" w:end="0"/>
      <w:jc w:val="both"/>
    </w:pPr>
    <w:rPr>
      <w:lang w:val="en-US"/>
    </w:rPr>
  </w:style>
  <w:style w:type="paragraph" w:styleId="Style12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8"/>
    </w:rPr>
  </w:style>
  <w:style w:type="paragraph" w:styleId="Style13">
    <w:name w:val="Текст выноски"/>
    <w:basedOn w:val="Normal"/>
    <w:qFormat/>
    <w:pPr>
      <w:overflowPunct w:val="false"/>
      <w:autoSpaceDE w:val="false"/>
      <w:textAlignment w:val="baseline"/>
    </w:pPr>
    <w:rPr>
      <w:rFonts w:ascii="Tahoma" w:hAnsi="Tahoma" w:cs="Tahoma"/>
      <w:sz w:val="16"/>
      <w:szCs w:val="16"/>
    </w:rPr>
  </w:style>
  <w:style w:type="paragraph" w:styleId="32">
    <w:name w:val="Основной текст с отступом 3"/>
    <w:basedOn w:val="Normal"/>
    <w:qFormat/>
    <w:pPr>
      <w:overflowPunct w:val="false"/>
      <w:autoSpaceDE w:val="false"/>
      <w:ind w:firstLine="426" w:start="0" w:end="-1"/>
      <w:jc w:val="both"/>
    </w:pPr>
    <w:rPr>
      <w:szCs w:val="20"/>
    </w:rPr>
  </w:style>
  <w:style w:type="paragraph" w:styleId="Style1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DefaultParagraphFontParaCharChar">
    <w:name w:val="Default Paragraph Font Para Char Char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5">
    <w:name w:val="Текст примечания"/>
    <w:basedOn w:val="Normal"/>
    <w:qFormat/>
    <w:pPr/>
    <w:rPr>
      <w:sz w:val="20"/>
      <w:szCs w:val="20"/>
    </w:rPr>
  </w:style>
  <w:style w:type="paragraph" w:styleId="normal2">
    <w:name w:val="normal2"/>
    <w:basedOn w:val="Normal"/>
    <w:qFormat/>
    <w:pPr>
      <w:snapToGrid w:val="false"/>
      <w:spacing w:before="100" w:after="100"/>
    </w:pPr>
    <w:rPr/>
  </w:style>
  <w:style w:type="paragraph" w:styleId="a">
    <w:name w:val="a"/>
    <w:basedOn w:val="Normal"/>
    <w:qFormat/>
    <w:pPr>
      <w:ind w:firstLine="720" w:start="0" w:end="0"/>
      <w:jc w:val="both"/>
    </w:pPr>
    <w:rPr/>
  </w:style>
  <w:style w:type="paragraph" w:styleId="Style16">
    <w:name w:val="Пункт"/>
    <w:basedOn w:val="Normal"/>
    <w:qFormat/>
    <w:pPr>
      <w:spacing w:lineRule="auto" w:line="360"/>
      <w:jc w:val="both"/>
    </w:pPr>
    <w:rPr>
      <w:sz w:val="28"/>
      <w:szCs w:val="20"/>
    </w:rPr>
  </w:style>
  <w:style w:type="paragraph" w:styleId="Style17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OC5">
    <w:name w:val="toc 5"/>
    <w:basedOn w:val="Normal"/>
    <w:next w:val="Normal"/>
    <w:pPr>
      <w:widowControl w:val="false"/>
      <w:autoSpaceDE w:val="false"/>
      <w:ind w:hanging="0" w:start="800" w:end="0"/>
    </w:pPr>
    <w:rPr>
      <w:rFonts w:ascii="Arial" w:hAnsi="Arial" w:cs="Arial"/>
      <w:sz w:val="20"/>
      <w:szCs w:val="20"/>
    </w:rPr>
  </w:style>
  <w:style w:type="paragraph" w:styleId="12">
    <w:name w:val="1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20"/>
      <w:lang w:val="ru-RU" w:bidi="ar-SA" w:eastAsia="zh-CN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ubtitle">
    <w:name w:val="Subtitle"/>
    <w:basedOn w:val="Normal"/>
    <w:next w:val="BodyText"/>
    <w:qFormat/>
    <w:pPr/>
    <w:rPr>
      <w:sz w:val="36"/>
    </w:rPr>
  </w:style>
  <w:style w:type="paragraph" w:styleId="Style18">
    <w:name w:val="Маркированный список"/>
    <w:basedOn w:val="Normal"/>
    <w:qFormat/>
    <w:pPr>
      <w:numPr>
        <w:ilvl w:val="0"/>
        <w:numId w:val="6"/>
      </w:numPr>
      <w:tabs>
        <w:tab w:val="clear" w:pos="709"/>
        <w:tab w:val="left" w:pos="1069" w:leader="none"/>
      </w:tabs>
      <w:spacing w:lineRule="auto" w:line="360"/>
      <w:ind w:hanging="0" w:start="1069" w:end="567"/>
    </w:pPr>
    <w:rPr>
      <w:szCs w:val="20"/>
    </w:rPr>
  </w:style>
  <w:style w:type="paragraph" w:styleId="xl83">
    <w:name w:val="xl8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  <w:lang w:val="en-US"/>
    </w:rPr>
  </w:style>
  <w:style w:type="paragraph" w:styleId="Style19">
    <w:name w:val="Подпункт"/>
    <w:basedOn w:val="Style16"/>
    <w:qFormat/>
    <w:pPr>
      <w:numPr>
        <w:ilvl w:val="0"/>
        <w:numId w:val="0"/>
      </w:numPr>
      <w:tabs>
        <w:tab w:val="clear" w:pos="709"/>
        <w:tab w:val="left" w:pos="1276" w:leader="none"/>
      </w:tabs>
      <w:ind w:hanging="1134" w:start="1276" w:end="0"/>
    </w:pPr>
    <w:rPr>
      <w:szCs w:val="28"/>
    </w:rPr>
  </w:style>
  <w:style w:type="paragraph" w:styleId="Style20">
    <w:name w:val="Подподпункт"/>
    <w:basedOn w:val="Style19"/>
    <w:qFormat/>
    <w:pPr>
      <w:tabs>
        <w:tab w:val="clear" w:pos="1276"/>
        <w:tab w:val="left" w:pos="1843" w:leader="none"/>
      </w:tabs>
      <w:ind w:hanging="567" w:start="1843" w:end="0"/>
    </w:pPr>
    <w:rPr/>
  </w:style>
  <w:style w:type="paragraph" w:styleId="Style21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14">
    <w:name w:val=" Знак1 Знак Знак Знак Знак Знак Знак"/>
    <w:basedOn w:val="Normal"/>
    <w:qFormat/>
    <w:pPr>
      <w:tabs>
        <w:tab w:val="clear" w:pos="709"/>
        <w:tab w:val="left" w:pos="1069" w:leader="none"/>
      </w:tabs>
      <w:spacing w:lineRule="exact" w:line="240" w:before="0" w:after="160"/>
      <w:ind w:hanging="360" w:start="1069" w:end="0"/>
      <w:jc w:val="both"/>
    </w:pPr>
    <w:rPr>
      <w:rFonts w:ascii="Verdana" w:hAnsi="Verdana" w:cs="Arial"/>
      <w:sz w:val="20"/>
      <w:szCs w:val="20"/>
      <w:lang w:val="en-US"/>
    </w:rPr>
  </w:style>
  <w:style w:type="paragraph" w:styleId="24">
    <w:name w:val=" Знак2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imes12">
    <w:name w:val="Times 12"/>
    <w:basedOn w:val="Normal"/>
    <w:qFormat/>
    <w:pPr>
      <w:overflowPunct w:val="false"/>
      <w:autoSpaceDE w:val="false"/>
      <w:ind w:firstLine="567" w:start="0" w:end="0"/>
      <w:jc w:val="both"/>
    </w:pPr>
    <w:rPr>
      <w:szCs w:val="20"/>
    </w:rPr>
  </w:style>
  <w:style w:type="paragraph" w:styleId="Style22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25">
    <w:name w:val="Обычный2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3">
    <w:name w:val="Абзац списка"/>
    <w:basedOn w:val="Normal"/>
    <w:qFormat/>
    <w:pPr>
      <w:ind w:hanging="0" w:start="708" w:end="0"/>
    </w:pPr>
    <w:rPr>
      <w:lang w:val="en-US"/>
    </w:rPr>
  </w:style>
  <w:style w:type="paragraph" w:styleId="Style24">
    <w:name w:val="Таблица шапка"/>
    <w:basedOn w:val="Normal"/>
    <w:qFormat/>
    <w:pPr>
      <w:keepNext w:val="true"/>
      <w:snapToGrid w:val="false"/>
      <w:spacing w:before="40" w:after="40"/>
      <w:ind w:hanging="0" w:start="57" w:end="57"/>
    </w:pPr>
    <w:rPr>
      <w:sz w:val="22"/>
      <w:szCs w:val="20"/>
    </w:rPr>
  </w:style>
  <w:style w:type="paragraph" w:styleId="Style25">
    <w:name w:val="Текст"/>
    <w:basedOn w:val="Normal"/>
    <w:qFormat/>
    <w:pPr/>
    <w:rPr>
      <w:rFonts w:ascii="Calibri" w:hAnsi="Calibri" w:eastAsia="Calibri" w:cs="Calibri"/>
      <w:sz w:val="22"/>
      <w:szCs w:val="21"/>
      <w:lang w:val="en-US"/>
    </w:rPr>
  </w:style>
  <w:style w:type="paragraph" w:styleId="P-Style">
    <w:name w:val="P-Style"/>
    <w:basedOn w:val="Normal"/>
    <w:qFormat/>
    <w:pPr>
      <w:spacing w:lineRule="auto" w:line="276" w:before="0" w:after="95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yperlink" Target="http://www.roseltorg.ru/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2024-02-13T06:44:00Z</dcterms:created>
  <dc:creator>SvetlanaP</dc:creator>
  <dc:description/>
  <cp:keywords/>
  <dc:language>en-US</dc:language>
  <cp:lastModifiedBy>Тлепсук Алла Мугдиновна</cp:lastModifiedBy>
  <cp:lastPrinted>2025-03-04T13:25:00Z</cp:lastPrinted>
  <dcterms:modified xsi:type="dcterms:W3CDTF">2025-12-15T08:30:00Z</dcterms:modified>
  <cp:revision>118</cp:revision>
  <dc:subject/>
  <dc:title>Российское акционерное общество</dc:title>
</cp:coreProperties>
</file>