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Протокол №РМР/5652</w:t>
      </w:r>
    </w:p>
    <w:p>
      <w:pPr>
        <w:pStyle w:val="Normal"/>
        <w:widowControl w:val="false"/>
        <w:suppressAutoHyphens w:val="true"/>
        <w:spacing w:lineRule="auto" w:line="240"/>
        <w:ind w:hanging="0" w:start="-142" w:end="-306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очно-заочного заседания Постоянно действующей конкурсной комиссии (далее - Комиссия) по рассмотрению заявок Участников и подведению итогов закупки</w:t>
      </w:r>
    </w:p>
    <w:p>
      <w:pPr>
        <w:pStyle w:val="Normal"/>
        <w:widowControl w:val="false"/>
        <w:suppressAutoHyphens w:val="true"/>
        <w:spacing w:lineRule="auto" w:line="240" w:before="0" w:after="120"/>
        <w:ind w:hanging="0" w:start="-142" w:end="-306"/>
        <w:jc w:val="center"/>
        <w:rPr>
          <w:b/>
          <w:sz w:val="23"/>
          <w:szCs w:val="23"/>
        </w:rPr>
      </w:pPr>
      <w:r>
        <w:rPr>
          <w:b/>
          <w:bCs/>
          <w:kern w:val="2"/>
          <w:sz w:val="23"/>
          <w:szCs w:val="23"/>
        </w:rPr>
        <w:t>(ЕИС</w:t>
      </w:r>
      <w:r>
        <w:rPr>
          <w:b/>
          <w:sz w:val="23"/>
          <w:szCs w:val="23"/>
        </w:rPr>
        <w:t xml:space="preserve"> № </w:t>
      </w:r>
      <w:r>
        <w:rPr>
          <w:b/>
          <w:kern w:val="2"/>
          <w:sz w:val="23"/>
          <w:szCs w:val="23"/>
        </w:rPr>
        <w:t>32515462412</w:t>
      </w:r>
      <w:r>
        <w:rPr>
          <w:b/>
          <w:sz w:val="23"/>
          <w:szCs w:val="23"/>
        </w:rPr>
        <w:t>)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62"/>
        <w:gridCol w:w="2324"/>
        <w:gridCol w:w="2637"/>
      </w:tblGrid>
      <w:tr>
        <w:trPr>
          <w:trHeight w:val="495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14" w:end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Место заседания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Дата принятия решения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Дата подписания протокола</w:t>
            </w:r>
          </w:p>
        </w:tc>
      </w:tr>
      <w:tr>
        <w:trPr>
          <w:trHeight w:val="944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hanging="0" w:end="0"/>
              <w:jc w:val="center"/>
              <w:rPr/>
            </w:pPr>
            <w:r>
              <w:rPr>
                <w:szCs w:val="24"/>
              </w:rPr>
              <w:t>г. Москва, 2-й Павелецкий проезд, д.3, стр.2, Департамент организации конкурсных процедур ПАО «</w:t>
            </w:r>
            <w:r>
              <w:rPr>
                <w:bCs/>
                <w:szCs w:val="24"/>
              </w:rPr>
              <w:t>Россети Московский регион</w:t>
            </w:r>
            <w:r>
              <w:rPr>
                <w:szCs w:val="24"/>
              </w:rPr>
              <w:t>»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ind w:hanging="0" w:end="0"/>
              <w:jc w:val="center"/>
              <w:rPr>
                <w:b/>
                <w:bCs/>
                <w:szCs w:val="24"/>
                <w:lang w:val="en-US"/>
              </w:rPr>
            </w:pPr>
            <w:r>
              <w:rPr>
                <w:b/>
                <w:bCs/>
                <w:szCs w:val="24"/>
              </w:rPr>
              <w:t>11.12.20</w:t>
            </w:r>
            <w:r>
              <w:rPr>
                <w:b/>
                <w:bCs/>
                <w:szCs w:val="24"/>
                <w:lang w:val="en-US"/>
              </w:rPr>
              <w:t>2</w:t>
            </w:r>
            <w:r>
              <w:rPr>
                <w:b/>
                <w:bCs/>
                <w:szCs w:val="24"/>
              </w:rPr>
              <w:t>5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ind w:hanging="0" w:end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12.12.20</w:t>
            </w:r>
            <w:r>
              <w:rPr>
                <w:b/>
                <w:bCs/>
                <w:szCs w:val="24"/>
                <w:lang w:val="en-US"/>
              </w:rPr>
              <w:t>2</w:t>
            </w:r>
            <w:r>
              <w:rPr>
                <w:b/>
                <w:bCs/>
                <w:szCs w:val="24"/>
              </w:rPr>
              <w:t>5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/>
      </w:pPr>
      <w:r>
        <w:rPr>
          <w:rFonts w:cs="Times New Roman" w:ascii="Times New Roman" w:hAnsi="Times New Roman"/>
          <w:b w:val="false"/>
          <w:bCs w:val="false"/>
          <w:kern w:val="0"/>
          <w:sz w:val="24"/>
          <w:szCs w:val="24"/>
        </w:rPr>
        <w:t xml:space="preserve">Настоящий запрос цен по результатам предварительного отбора в электронной форме (далее – закупка) проводится с использованием функционала электронной торговой площадки АО «Российский </w:t>
      </w:r>
      <w:r>
        <w:rPr>
          <w:rFonts w:cs="Times New Roman" w:ascii="Times New Roman" w:hAnsi="Times New Roman"/>
          <w:b w:val="false"/>
          <w:sz w:val="24"/>
          <w:szCs w:val="24"/>
        </w:rPr>
        <w:t>аукционный дом</w:t>
      </w:r>
      <w:r>
        <w:rPr>
          <w:rFonts w:cs="Times New Roman" w:ascii="Times New Roman" w:hAnsi="Times New Roman"/>
          <w:b w:val="false"/>
          <w:bCs w:val="false"/>
          <w:kern w:val="0"/>
          <w:sz w:val="24"/>
          <w:szCs w:val="24"/>
        </w:rPr>
        <w:t>» (</w:t>
      </w:r>
      <w:hyperlink r:id="rId2">
        <w:r>
          <w:rPr>
            <w:rStyle w:val="Hyperlink"/>
            <w:rFonts w:cs="Times New Roman" w:ascii="Times New Roman" w:hAnsi="Times New Roman"/>
            <w:b/>
            <w:sz w:val="24"/>
            <w:szCs w:val="24"/>
            <w:lang w:val="en-US"/>
          </w:rPr>
          <w:t>www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</w:rPr>
          <w:t>.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  <w:lang w:val="en-US"/>
          </w:rPr>
          <w:t>tender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</w:rPr>
          <w:t>.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  <w:lang w:val="en-US"/>
          </w:rPr>
          <w:t>lot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</w:rPr>
          <w:t>-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  <w:lang w:val="en-US"/>
          </w:rPr>
          <w:t>online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</w:rPr>
          <w:t>.ru</w:t>
        </w:r>
      </w:hyperlink>
      <w:r>
        <w:rPr>
          <w:rFonts w:cs="Times New Roman" w:ascii="Times New Roman" w:hAnsi="Times New Roman"/>
          <w:b w:val="false"/>
          <w:bCs w:val="false"/>
          <w:kern w:val="0"/>
          <w:sz w:val="24"/>
          <w:szCs w:val="24"/>
        </w:rPr>
        <w:t xml:space="preserve">) согласно правилам работы данной системы. 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 w:cs="Times New Roman"/>
          <w:b w:val="false"/>
          <w:bCs w:val="false"/>
          <w:kern w:val="0"/>
          <w:sz w:val="23"/>
          <w:szCs w:val="23"/>
        </w:rPr>
      </w:pPr>
      <w:r>
        <w:rPr>
          <w:rFonts w:cs="Times New Roman" w:ascii="Times New Roman" w:hAnsi="Times New Roman"/>
          <w:b w:val="false"/>
          <w:bCs w:val="false"/>
          <w:kern w:val="0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5"/>
        </w:numPr>
        <w:spacing w:before="0" w:after="0"/>
        <w:ind w:hanging="567" w:start="567" w:end="0"/>
        <w:rPr>
          <w:rFonts w:ascii="Times New Roman" w:hAnsi="Times New Roman" w:cs="Times New Roman"/>
          <w:sz w:val="23"/>
          <w:szCs w:val="23"/>
          <w:lang w:val="en-US"/>
        </w:rPr>
      </w:pPr>
      <w:r>
        <w:rPr>
          <w:rFonts w:cs="Times New Roman" w:ascii="Times New Roman" w:hAnsi="Times New Roman"/>
          <w:sz w:val="23"/>
          <w:szCs w:val="23"/>
        </w:rPr>
        <w:t>ОБЩАЯ ИНФОРМАЦИЯ О ЗАКУПКЕ: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sz w:val="24"/>
          <w:szCs w:val="24"/>
        </w:rPr>
      </w:pPr>
      <w:r>
        <w:rPr>
          <w:sz w:val="24"/>
          <w:szCs w:val="24"/>
          <w:u w:val="single"/>
        </w:rPr>
        <w:t>Предмет закупки</w:t>
      </w:r>
      <w:r>
        <w:rPr>
          <w:sz w:val="24"/>
          <w:szCs w:val="24"/>
        </w:rPr>
        <w:t xml:space="preserve">: </w:t>
      </w:r>
      <w:r>
        <w:rPr>
          <w:iCs/>
          <w:sz w:val="24"/>
          <w:szCs w:val="24"/>
        </w:rPr>
        <w:t xml:space="preserve">определение подрядчика </w:t>
      </w:r>
      <w:r>
        <w:rPr>
          <w:bCs/>
          <w:sz w:val="24"/>
          <w:szCs w:val="24"/>
        </w:rPr>
        <w:t xml:space="preserve">на выполнение </w:t>
      </w:r>
      <w:r>
        <w:rPr>
          <w:sz w:val="24"/>
          <w:szCs w:val="24"/>
        </w:rPr>
        <w:t xml:space="preserve">ПИР по двум титулам:  г.Москва, 2-й Котляковский пер., з/у 1/10 для нужд МКС </w:t>
      </w:r>
      <w:r>
        <w:rPr>
          <w:bCs/>
          <w:sz w:val="24"/>
          <w:szCs w:val="24"/>
        </w:rPr>
        <w:t>– филиала ПАО «Россети Московский регион».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rFonts w:eastAsia="Calibri"/>
          <w:sz w:val="24"/>
          <w:szCs w:val="24"/>
        </w:rPr>
      </w:pPr>
      <w:r>
        <w:rPr>
          <w:sz w:val="24"/>
          <w:szCs w:val="24"/>
          <w:u w:val="single"/>
        </w:rPr>
        <w:t>Основание для проведения закупки</w:t>
      </w:r>
      <w:r>
        <w:rPr>
          <w:sz w:val="24"/>
          <w:szCs w:val="24"/>
        </w:rPr>
        <w:t>: Распоряжение ПАО 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 от 04.03.2025 №</w:t>
      </w:r>
      <w:r>
        <w:rPr>
          <w:bCs/>
          <w:iCs/>
          <w:sz w:val="24"/>
          <w:szCs w:val="24"/>
        </w:rPr>
        <w:t>269р</w:t>
      </w:r>
      <w:r>
        <w:rPr>
          <w:sz w:val="24"/>
          <w:szCs w:val="24"/>
        </w:rPr>
        <w:t>.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0" w:after="180"/>
        <w:ind w:start="0" w:hanging="0" w:end="0"/>
        <w:outlineLvl w:val="1"/>
        <w:rPr/>
      </w:pPr>
      <w:r>
        <w:rPr>
          <w:sz w:val="24"/>
          <w:szCs w:val="24"/>
          <w:u w:val="single"/>
        </w:rPr>
        <w:t>Ограничение участия только субъектов малого и среднего предпринимательства</w:t>
      </w:r>
      <w:r>
        <w:rPr>
          <w:sz w:val="24"/>
          <w:szCs w:val="24"/>
        </w:rPr>
        <w:t>: установлено. Не является спецторгами</w:t>
      </w:r>
      <w:r>
        <w:rPr/>
        <w:t>.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8"/>
        <w:gridCol w:w="5245"/>
      </w:tblGrid>
      <w:tr>
        <w:trPr>
          <w:trHeight w:val="62" w:hRule="atLeast"/>
        </w:trPr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WW-12"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ind w:hanging="0" w:end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Начальная цена закупки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WW-12"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ind w:hanging="0" w:end="0"/>
              <w:jc w:val="center"/>
              <w:rPr>
                <w:b/>
                <w:szCs w:val="24"/>
              </w:rPr>
            </w:pPr>
            <w:r>
              <w:rPr>
                <w:b/>
                <w:bCs/>
                <w:szCs w:val="24"/>
              </w:rPr>
              <w:t>Сроки выполнения работ</w:t>
            </w:r>
          </w:p>
        </w:tc>
      </w:tr>
      <w:tr>
        <w:trPr>
          <w:trHeight w:val="930" w:hRule="atLeast"/>
        </w:trPr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WW-12"/>
              <w:keepNext w:val="true"/>
              <w:widowControl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 w:end="0"/>
              <w:contextualSpacing/>
              <w:jc w:val="center"/>
              <w:rPr/>
            </w:pPr>
            <w:r>
              <w:rPr>
                <w:szCs w:val="24"/>
              </w:rPr>
              <w:t>7 919 925,73 руб., в т.ч. НДС 20%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5"/>
              <w:tabs>
                <w:tab w:val="clear" w:pos="709"/>
                <w:tab w:val="left" w:pos="567" w:leader="none"/>
                <w:tab w:val="left" w:pos="900" w:leader="none"/>
              </w:tabs>
              <w:ind w:hanging="0" w:start="-60" w:end="-159"/>
              <w:jc w:val="center"/>
              <w:rPr/>
            </w:pPr>
            <w:r>
              <w:rPr>
                <w:szCs w:val="28"/>
              </w:rPr>
              <w:t>С даты подписания</w:t>
            </w:r>
            <w:r>
              <w:rPr/>
              <w:t xml:space="preserve"> договора</w:t>
            </w:r>
          </w:p>
          <w:p>
            <w:pPr>
              <w:pStyle w:val="5"/>
              <w:tabs>
                <w:tab w:val="clear" w:pos="709"/>
                <w:tab w:val="left" w:pos="567" w:leader="none"/>
                <w:tab w:val="left" w:pos="900" w:leader="none"/>
              </w:tabs>
              <w:ind w:hanging="0" w:start="-60" w:end="-159"/>
              <w:jc w:val="center"/>
              <w:rPr/>
            </w:pPr>
            <w:r>
              <w:rPr/>
              <w:t>по 31 декабря 2026г.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sz w:val="12"/>
          <w:szCs w:val="12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rPr/>
      </w:pPr>
      <w:r>
        <w:rPr>
          <w:rFonts w:cs="Times New Roman" w:ascii="Times New Roman" w:hAnsi="Times New Roman"/>
          <w:sz w:val="24"/>
          <w:szCs w:val="24"/>
        </w:rPr>
        <w:t>В очном заседании Комиссии принимали участие:</w:t>
      </w:r>
    </w:p>
    <w:p>
      <w:pPr>
        <w:pStyle w:val="Normal"/>
        <w:keepNext w:val="true"/>
        <w:spacing w:lineRule="auto" w:line="240"/>
        <w:ind w:hanging="0" w:end="0"/>
        <w:rPr/>
      </w:pPr>
      <w:r>
        <w:rPr>
          <w:b/>
          <w:bCs/>
          <w:sz w:val="24"/>
          <w:szCs w:val="24"/>
        </w:rPr>
        <w:t>Заместитель председателя Комиссии:</w:t>
      </w:r>
    </w:p>
    <w:p>
      <w:pPr>
        <w:pStyle w:val="Normal"/>
        <w:spacing w:lineRule="auto" w:line="240"/>
        <w:ind w:hanging="0" w:end="152"/>
        <w:rPr>
          <w:sz w:val="24"/>
          <w:szCs w:val="24"/>
        </w:rPr>
      </w:pPr>
      <w:r>
        <w:rPr>
          <w:sz w:val="24"/>
          <w:szCs w:val="24"/>
        </w:rPr>
        <w:t>Старостина Я.О. – Директор департамента организации конкурсных процедур ПАО «Россети Московский регион»;</w:t>
      </w:r>
    </w:p>
    <w:p>
      <w:pPr>
        <w:pStyle w:val="Normal"/>
        <w:spacing w:lineRule="auto" w:line="240"/>
        <w:ind w:hanging="0" w:end="152"/>
        <w:rPr>
          <w:sz w:val="24"/>
          <w:szCs w:val="24"/>
        </w:rPr>
      </w:pPr>
      <w:r>
        <w:rPr>
          <w:b/>
          <w:bCs/>
          <w:sz w:val="24"/>
          <w:szCs w:val="24"/>
        </w:rPr>
        <w:t>Члены Комиссии: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/>
      </w:pPr>
      <w:r>
        <w:rPr>
          <w:bCs/>
          <w:iCs/>
          <w:sz w:val="24"/>
          <w:szCs w:val="24"/>
        </w:rPr>
        <w:t>Богомолов Э.В. – Д</w:t>
      </w:r>
      <w:r>
        <w:rPr>
          <w:sz w:val="24"/>
          <w:szCs w:val="24"/>
        </w:rPr>
        <w:t>иректор департамента производственной безопасности ПАО «Россети Московский регион»</w:t>
      </w:r>
      <w:r>
        <w:rPr>
          <w:bCs/>
          <w:iCs/>
          <w:sz w:val="24"/>
          <w:szCs w:val="24"/>
        </w:rPr>
        <w:t>;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>
          <w:bCs/>
          <w:iCs/>
          <w:sz w:val="24"/>
          <w:szCs w:val="24"/>
        </w:rPr>
      </w:pPr>
      <w:r>
        <w:rPr>
          <w:sz w:val="24"/>
          <w:szCs w:val="24"/>
        </w:rPr>
        <w:t>Попко О.О. – Заместитель директора департамента корпоративных финансов ПАО 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»;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>
          <w:bCs/>
          <w:iCs/>
          <w:sz w:val="24"/>
          <w:szCs w:val="24"/>
        </w:rPr>
      </w:pPr>
      <w:r>
        <w:rPr>
          <w:sz w:val="24"/>
          <w:szCs w:val="24"/>
        </w:rPr>
        <w:t>Голубев Д.В. – Начальник управления мониторинга рынка ТМЦ и расчетов с поставщиками ПАО 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»;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/>
      </w:pPr>
      <w:r>
        <w:rPr>
          <w:sz w:val="24"/>
          <w:szCs w:val="24"/>
        </w:rPr>
        <w:t xml:space="preserve">Мауль А.В. – Начальник управления </w:t>
      </w:r>
      <w:r>
        <w:rPr>
          <w:bCs/>
          <w:color w:val="000000"/>
          <w:sz w:val="24"/>
          <w:szCs w:val="24"/>
        </w:rPr>
        <w:t xml:space="preserve">нормативного регулирования и сопровождения договорной работы </w:t>
      </w:r>
      <w:r>
        <w:rPr>
          <w:sz w:val="24"/>
          <w:szCs w:val="24"/>
        </w:rPr>
        <w:t>ПАО 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»;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>Муравьев Д.П. – Начальник управления</w:t>
      </w:r>
      <w:r>
        <w:rPr>
          <w:sz w:val="24"/>
          <w:szCs w:val="24"/>
        </w:rPr>
        <w:t xml:space="preserve"> комплектации оборудованием ПАО «Россети Московский регион»;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/>
      </w:pPr>
      <w:r>
        <w:rPr>
          <w:color w:val="000000"/>
          <w:sz w:val="24"/>
          <w:szCs w:val="24"/>
        </w:rPr>
        <w:t xml:space="preserve">Светличный Д.А. – Начальник управления </w:t>
      </w:r>
      <w:r>
        <w:rPr>
          <w:bCs/>
          <w:iCs/>
          <w:sz w:val="24"/>
          <w:szCs w:val="24"/>
        </w:rPr>
        <w:t>строительного</w:t>
      </w:r>
      <w:r>
        <w:rPr>
          <w:color w:val="000000"/>
          <w:sz w:val="24"/>
          <w:szCs w:val="24"/>
        </w:rPr>
        <w:t xml:space="preserve"> надзора ПАО «</w:t>
      </w:r>
      <w:r>
        <w:rPr>
          <w:bCs/>
          <w:sz w:val="24"/>
          <w:szCs w:val="24"/>
        </w:rPr>
        <w:t>Россети Московский регион</w:t>
      </w:r>
      <w:r>
        <w:rPr>
          <w:color w:val="000000"/>
          <w:sz w:val="24"/>
          <w:szCs w:val="24"/>
        </w:rPr>
        <w:t>»;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>
          <w:bCs/>
          <w:iCs/>
          <w:sz w:val="24"/>
          <w:szCs w:val="24"/>
        </w:rPr>
      </w:pPr>
      <w:r>
        <w:rPr>
          <w:color w:val="000000"/>
          <w:sz w:val="24"/>
          <w:szCs w:val="24"/>
        </w:rPr>
        <w:t xml:space="preserve">Зубков П.С. – </w:t>
      </w:r>
      <w:r>
        <w:rPr>
          <w:sz w:val="24"/>
          <w:szCs w:val="24"/>
        </w:rPr>
        <w:t>Главный эксперт контрольно-экспертного управления ПАО 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</w:t>
      </w:r>
      <w:r>
        <w:rPr>
          <w:color w:val="000000"/>
          <w:sz w:val="24"/>
          <w:szCs w:val="24"/>
        </w:rPr>
        <w:t>;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Кремнёв А.С. – Главный эксперт управления общей правовой работы ПАО «</w:t>
      </w:r>
      <w:r>
        <w:rPr>
          <w:bCs/>
          <w:sz w:val="24"/>
          <w:szCs w:val="24"/>
        </w:rPr>
        <w:t>Россети Московский регион</w:t>
      </w:r>
      <w:r>
        <w:rPr>
          <w:color w:val="000000"/>
          <w:sz w:val="24"/>
          <w:szCs w:val="24"/>
        </w:rPr>
        <w:t>»;</w:t>
      </w:r>
    </w:p>
    <w:p>
      <w:pPr>
        <w:pStyle w:val="Normal"/>
        <w:spacing w:lineRule="auto" w:line="240"/>
        <w:ind w:hanging="0" w:end="152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Секретарь Комиссии (с правом голоса): </w:t>
      </w:r>
    </w:p>
    <w:p>
      <w:pPr>
        <w:pStyle w:val="Normal"/>
        <w:widowControl w:val="false"/>
        <w:spacing w:lineRule="auto" w:line="240"/>
        <w:ind w:hanging="0" w:end="0"/>
        <w:rPr>
          <w:sz w:val="24"/>
          <w:szCs w:val="24"/>
        </w:rPr>
      </w:pPr>
      <w:r>
        <w:rPr>
          <w:sz w:val="24"/>
          <w:szCs w:val="24"/>
        </w:rPr>
        <w:t>Гусев К.В. – Начальник управления организации конкурсных закупок ПАО 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».</w:t>
      </w:r>
    </w:p>
    <w:p>
      <w:pPr>
        <w:pStyle w:val="Normal"/>
        <w:widowControl w:val="false"/>
        <w:spacing w:lineRule="auto" w:line="240"/>
        <w:ind w:hanging="0" w:end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widowControl w:val="false"/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>СЛУШАЛИ:</w:t>
      </w:r>
    </w:p>
    <w:p>
      <w:pPr>
        <w:pStyle w:val="Normal"/>
        <w:widowControl w:val="false"/>
        <w:spacing w:lineRule="auto" w:line="240"/>
        <w:ind w:hanging="0" w:end="0"/>
        <w:rPr>
          <w:sz w:val="24"/>
          <w:szCs w:val="24"/>
        </w:rPr>
      </w:pPr>
      <w:r>
        <w:rPr>
          <w:sz w:val="24"/>
          <w:szCs w:val="24"/>
        </w:rPr>
        <w:t>Гусева К.В. – Начальника управления организации конкурсных закупок ПАО 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».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Заочное голосование по опросным листам:</w:t>
      </w:r>
    </w:p>
    <w:p>
      <w:pPr>
        <w:pStyle w:val="Normal"/>
        <w:spacing w:lineRule="auto" w:line="240"/>
        <w:ind w:hanging="0" w:end="152"/>
        <w:rPr>
          <w:sz w:val="24"/>
          <w:szCs w:val="24"/>
        </w:rPr>
      </w:pPr>
      <w:r>
        <w:rPr>
          <w:b/>
          <w:bCs/>
          <w:sz w:val="24"/>
          <w:szCs w:val="24"/>
        </w:rPr>
        <w:t>Член Комиссии: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/>
      </w:pPr>
      <w:r>
        <w:rPr>
          <w:sz w:val="24"/>
          <w:szCs w:val="24"/>
        </w:rPr>
        <w:t>Омельяненко А.А. – Начальник управления материально-технического снабжения ПАО 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».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lineRule="auto" w:line="240"/>
        <w:ind w:hanging="0" w:end="0"/>
        <w:rPr>
          <w:b/>
          <w:bCs/>
          <w:color w:val="000000"/>
          <w:sz w:val="24"/>
          <w:szCs w:val="24"/>
        </w:rPr>
      </w:pPr>
      <w:r>
        <w:rPr>
          <w:b/>
          <w:sz w:val="24"/>
          <w:szCs w:val="24"/>
        </w:rPr>
        <w:t>В заседании приняли участие 11 из 19 членов Комиссии</w:t>
      </w:r>
      <w:r>
        <w:rPr>
          <w:b/>
          <w:bCs/>
          <w:color w:val="000000"/>
          <w:sz w:val="24"/>
          <w:szCs w:val="24"/>
        </w:rPr>
        <w:t>.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rPr>
          <w:rFonts w:ascii="Times New Roman" w:hAnsi="Times New Roman" w:cs="Times New Roman"/>
          <w:bCs w:val="false"/>
          <w:color w:val="000000"/>
          <w:kern w:val="0"/>
          <w:sz w:val="24"/>
          <w:szCs w:val="24"/>
        </w:rPr>
      </w:pPr>
      <w:r>
        <w:rPr>
          <w:rFonts w:cs="Times New Roman" w:ascii="Times New Roman" w:hAnsi="Times New Roman"/>
          <w:bCs w:val="false"/>
          <w:color w:val="000000"/>
          <w:kern w:val="0"/>
          <w:sz w:val="24"/>
          <w:szCs w:val="24"/>
        </w:rPr>
        <w:t>Кворум имеется.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rPr>
          <w:rFonts w:ascii="Times New Roman" w:hAnsi="Times New Roman" w:cs="Times New Roman"/>
          <w:bCs w:val="false"/>
          <w:color w:val="000000"/>
          <w:kern w:val="0"/>
          <w:sz w:val="24"/>
          <w:szCs w:val="24"/>
          <w:lang w:val="en-US"/>
        </w:rPr>
      </w:pPr>
      <w:r>
        <w:rPr>
          <w:rFonts w:cs="Times New Roman" w:ascii="Times New Roman" w:hAnsi="Times New Roman"/>
          <w:bCs w:val="false"/>
          <w:color w:val="000000"/>
          <w:kern w:val="0"/>
          <w:sz w:val="24"/>
          <w:szCs w:val="24"/>
          <w:lang w:val="en-US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5"/>
        </w:numPr>
        <w:spacing w:before="120" w:after="0"/>
        <w:ind w:hanging="567" w:start="567" w:end="0"/>
        <w:rPr>
          <w:rFonts w:ascii="Times New Roman" w:hAnsi="Times New Roman" w:cs="Times New Roman"/>
          <w:sz w:val="23"/>
          <w:szCs w:val="23"/>
        </w:rPr>
      </w:pPr>
      <w:bookmarkStart w:id="0" w:name="Комиссия"/>
      <w:bookmarkEnd w:id="0"/>
      <w:r>
        <w:rPr>
          <w:rFonts w:cs="Times New Roman" w:ascii="Times New Roman" w:hAnsi="Times New Roman"/>
          <w:sz w:val="23"/>
          <w:szCs w:val="23"/>
        </w:rPr>
        <w:t>ПОСТУПИВШИЕ ЗАЯВКИ: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120" w:after="180"/>
        <w:ind w:hanging="0" w:start="0"/>
        <w:rPr>
          <w:rFonts w:ascii="Times New Roman" w:hAnsi="Times New Roman" w:cs="Times New Roman"/>
          <w:b w:val="false"/>
          <w:sz w:val="24"/>
          <w:szCs w:val="24"/>
        </w:rPr>
      </w:pPr>
      <w:r>
        <w:rPr>
          <w:rFonts w:cs="Times New Roman" w:ascii="Times New Roman" w:hAnsi="Times New Roman"/>
          <w:b w:val="false"/>
          <w:sz w:val="24"/>
          <w:szCs w:val="24"/>
        </w:rPr>
        <w:t>К установленному сроку подачи заявок поступили следующие заявки:</w:t>
      </w:r>
    </w:p>
    <w:tbl>
      <w:tblPr>
        <w:tblW w:w="1008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3"/>
        <w:gridCol w:w="5103"/>
        <w:gridCol w:w="3989"/>
      </w:tblGrid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6"/>
              <w:widowControl w:val="false"/>
              <w:spacing w:lineRule="auto" w:line="240" w:before="0" w:after="0"/>
              <w:ind w:hanging="0" w:start="0" w:end="0"/>
              <w:contextualSpacing w:val="fals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b/>
                <w:sz w:val="24"/>
                <w:szCs w:val="24"/>
              </w:rPr>
              <w:t>Наименование Участника и его адрес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6"/>
              <w:widowControl w:val="false"/>
              <w:spacing w:lineRule="auto" w:line="240" w:before="0" w:after="0"/>
              <w:ind w:hanging="0" w:start="0" w:end="0"/>
              <w:contextualSpacing w:val="fals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 и время подачи (мск. время)</w:t>
            </w:r>
          </w:p>
        </w:tc>
      </w:tr>
      <w:tr>
        <w:trPr>
          <w:trHeight w:val="1209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jc w:val="center"/>
              <w:rPr>
                <w:rFonts w:ascii="Times New Roman" w:hAnsi="Times New Roman" w:cs="Times New Roman"/>
                <w:b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szCs w:val="24"/>
              </w:rPr>
              <w:t>1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/>
            </w:pPr>
            <w:r>
              <w:rPr>
                <w:sz w:val="24"/>
                <w:szCs w:val="24"/>
              </w:rPr>
              <w:t>ООО «Группа Электроэнергетика» (119330, г. Москва, ул. Мосфильмовская, д.17Б, помещ. 89)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09.12.2025  14:39:55</w:t>
            </w:r>
          </w:p>
        </w:tc>
      </w:tr>
      <w:tr>
        <w:trPr>
          <w:trHeight w:val="1127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jc w:val="center"/>
              <w:rPr>
                <w:rFonts w:ascii="Times New Roman" w:hAnsi="Times New Roman" w:cs="Times New Roman"/>
                <w:b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szCs w:val="24"/>
              </w:rPr>
              <w:t>2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/>
            </w:pPr>
            <w:r>
              <w:rPr>
                <w:sz w:val="24"/>
                <w:szCs w:val="24"/>
              </w:rPr>
              <w:t>ООО «М-ЭНЕРГО» (115280, г. Москва, ул. Ленинская Слобода, д. 19, к.1)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10.12.2025  09:43:08</w:t>
            </w:r>
          </w:p>
        </w:tc>
      </w:tr>
      <w:tr>
        <w:trPr/>
        <w:tc>
          <w:tcPr>
            <w:tcW w:w="100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Всего поступило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2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заявки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12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5"/>
        </w:numPr>
        <w:spacing w:before="120" w:after="0"/>
        <w:ind w:hanging="567" w:start="567" w:end="0"/>
        <w:rPr>
          <w:rFonts w:ascii="Times New Roman" w:hAnsi="Times New Roman" w:cs="Times New Roman"/>
          <w:sz w:val="23"/>
          <w:szCs w:val="23"/>
        </w:rPr>
      </w:pPr>
      <w:r>
        <w:rPr>
          <w:rFonts w:cs="Times New Roman" w:ascii="Times New Roman" w:hAnsi="Times New Roman"/>
          <w:sz w:val="23"/>
          <w:szCs w:val="23"/>
        </w:rPr>
        <w:t>ВОПРОСЫ КОМИССИИ:</w:t>
      </w:r>
    </w:p>
    <w:p>
      <w:pPr>
        <w:pStyle w:val="12"/>
        <w:keepNext w:val="false"/>
        <w:keepLines w:val="false"/>
        <w:widowControl w:val="false"/>
        <w:numPr>
          <w:ilvl w:val="0"/>
          <w:numId w:val="2"/>
        </w:numPr>
        <w:tabs>
          <w:tab w:val="clear" w:pos="709"/>
          <w:tab w:val="left" w:pos="284" w:leader="none"/>
        </w:tabs>
        <w:spacing w:before="0" w:after="0"/>
        <w:ind w:hanging="0" w:start="0" w:end="0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 рассмотрении индивидуальных экспертных заключений</w:t>
      </w:r>
    </w:p>
    <w:p>
      <w:pPr>
        <w:pStyle w:val="12"/>
        <w:keepNext w:val="false"/>
        <w:keepLines w:val="false"/>
        <w:widowControl w:val="false"/>
        <w:numPr>
          <w:ilvl w:val="0"/>
          <w:numId w:val="2"/>
        </w:numPr>
        <w:tabs>
          <w:tab w:val="clear" w:pos="709"/>
          <w:tab w:val="left" w:pos="284" w:leader="none"/>
        </w:tabs>
        <w:spacing w:before="0" w:after="0"/>
        <w:ind w:hanging="0" w:start="0" w:end="0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 рассмотрении заявок Участников</w:t>
      </w:r>
    </w:p>
    <w:p>
      <w:pPr>
        <w:pStyle w:val="12"/>
        <w:keepNext w:val="false"/>
        <w:keepLines w:val="false"/>
        <w:widowControl w:val="false"/>
        <w:numPr>
          <w:ilvl w:val="0"/>
          <w:numId w:val="2"/>
        </w:numPr>
        <w:tabs>
          <w:tab w:val="clear" w:pos="709"/>
          <w:tab w:val="left" w:pos="284" w:leader="none"/>
        </w:tabs>
        <w:spacing w:before="0" w:after="0"/>
        <w:ind w:hanging="0" w:start="0" w:end="0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 подведении итогов по закупке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284" w:leader="none"/>
        </w:tabs>
        <w:spacing w:before="120" w:after="0"/>
        <w:ind w:hanging="0" w:start="0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5"/>
        </w:numPr>
        <w:spacing w:before="120" w:after="0"/>
        <w:ind w:hanging="567" w:start="567" w:end="0"/>
        <w:rPr>
          <w:rFonts w:ascii="Times New Roman" w:hAnsi="Times New Roman" w:cs="Times New Roman"/>
          <w:sz w:val="23"/>
          <w:szCs w:val="23"/>
        </w:rPr>
      </w:pPr>
      <w:r>
        <w:rPr>
          <w:rFonts w:cs="Times New Roman" w:ascii="Times New Roman" w:hAnsi="Times New Roman"/>
          <w:sz w:val="23"/>
          <w:szCs w:val="23"/>
        </w:rPr>
        <w:t>РЕШИЛИ:</w:t>
      </w:r>
    </w:p>
    <w:p>
      <w:pPr>
        <w:pStyle w:val="Style26"/>
        <w:widowControl w:val="false"/>
        <w:numPr>
          <w:ilvl w:val="0"/>
          <w:numId w:val="3"/>
        </w:numPr>
        <w:tabs>
          <w:tab w:val="clear" w:pos="709"/>
          <w:tab w:val="left" w:pos="567" w:leader="none"/>
        </w:tabs>
        <w:spacing w:lineRule="auto" w:line="240" w:before="0" w:after="0"/>
        <w:ind w:hanging="0" w:start="0" w:end="2"/>
        <w:contextualSpacing w:val="false"/>
        <w:rPr>
          <w:sz w:val="24"/>
          <w:szCs w:val="24"/>
        </w:rPr>
      </w:pPr>
      <w:r>
        <w:rPr>
          <w:sz w:val="24"/>
          <w:szCs w:val="24"/>
        </w:rPr>
        <w:t>Рассмотреть индивидуальные экспертные заключения.</w:t>
      </w:r>
    </w:p>
    <w:p>
      <w:pPr>
        <w:pStyle w:val="Style26"/>
        <w:widowControl w:val="false"/>
        <w:numPr>
          <w:ilvl w:val="0"/>
          <w:numId w:val="3"/>
        </w:numPr>
        <w:tabs>
          <w:tab w:val="clear" w:pos="709"/>
          <w:tab w:val="left" w:pos="567" w:leader="none"/>
          <w:tab w:val="left" w:pos="993" w:leader="none"/>
        </w:tabs>
        <w:spacing w:lineRule="auto" w:line="240" w:before="0" w:after="0"/>
        <w:ind w:hanging="0" w:start="0" w:end="2"/>
        <w:contextualSpacing w:val="false"/>
        <w:rPr>
          <w:sz w:val="24"/>
          <w:szCs w:val="24"/>
        </w:rPr>
      </w:pPr>
      <w:r>
        <w:rPr>
          <w:sz w:val="24"/>
          <w:szCs w:val="24"/>
        </w:rPr>
        <w:t>По итогам рассмотрения поступивших на закупку заявок, индивидуальных экспертных заключений признать заявки следующих Участников несоответствующими требованиям Извещения о проведении закупки и отклонить от дальнейшего рассмотрения:</w:t>
      </w:r>
    </w:p>
    <w:tbl>
      <w:tblPr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8"/>
        <w:gridCol w:w="5387"/>
      </w:tblGrid>
      <w:tr>
        <w:trPr/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Наименование Участника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 его адрес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6"/>
              <w:widowControl w:val="false"/>
              <w:tabs>
                <w:tab w:val="clear" w:pos="709"/>
                <w:tab w:val="left" w:pos="567" w:leader="none"/>
              </w:tabs>
              <w:spacing w:lineRule="auto" w:line="240" w:before="0" w:after="0"/>
              <w:ind w:hanging="0" w:start="0" w:end="0"/>
              <w:contextualSpacing w:val="fals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Основание для отклонения</w:t>
            </w:r>
          </w:p>
        </w:tc>
      </w:tr>
      <w:tr>
        <w:trPr>
          <w:trHeight w:val="1975" w:hRule="atLeast"/>
        </w:trPr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/>
            </w:pPr>
            <w:r>
              <w:rPr>
                <w:sz w:val="24"/>
                <w:szCs w:val="24"/>
              </w:rPr>
              <w:t>ООО «Группа Электроэнергетика» (119330, г. Москва, ул. Мосфильмовская, д.17Б, помещ. 89)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6"/>
              <w:widowControl w:val="false"/>
              <w:tabs>
                <w:tab w:val="clear" w:pos="709"/>
                <w:tab w:val="left" w:pos="567" w:leader="none"/>
              </w:tabs>
              <w:spacing w:lineRule="auto" w:line="240" w:before="0" w:after="0"/>
              <w:ind w:hanging="0" w:start="0" w:end="0"/>
              <w:contextualSpacing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П.2.10.</w:t>
            </w:r>
            <w:r>
              <w:rPr>
                <w:sz w:val="24"/>
                <w:szCs w:val="24"/>
                <w:lang w:val="en-US"/>
              </w:rPr>
              <w:t>b</w:t>
            </w:r>
            <w:r>
              <w:rPr>
                <w:sz w:val="24"/>
                <w:szCs w:val="24"/>
              </w:rPr>
              <w:t xml:space="preserve">) Приложения №2 к Извещению о проведении закупки: в составе заявки не предоставлены лицензии ФСТЭК и ФСБ </w:t>
            </w:r>
            <w:r>
              <w:rPr>
                <w:i/>
                <w:sz w:val="24"/>
                <w:szCs w:val="24"/>
              </w:rPr>
              <w:t>(на основании отрицательного заключения эксперта: Директора департамента информационной безопасности - В.А. Краснокутского)</w:t>
            </w:r>
          </w:p>
        </w:tc>
      </w:tr>
      <w:tr>
        <w:trPr>
          <w:trHeight w:val="1968" w:hRule="atLeast"/>
        </w:trPr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/>
            </w:pPr>
            <w:r>
              <w:rPr>
                <w:sz w:val="24"/>
                <w:szCs w:val="24"/>
              </w:rPr>
              <w:t>ООО «М-ЭНЕРГО» (115280, г. Москва, ул. Ленинская Слобода, д. 19, к.1)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6"/>
              <w:widowControl w:val="false"/>
              <w:tabs>
                <w:tab w:val="clear" w:pos="709"/>
                <w:tab w:val="left" w:pos="567" w:leader="none"/>
              </w:tabs>
              <w:spacing w:lineRule="auto" w:line="240" w:before="0" w:after="0"/>
              <w:ind w:hanging="0" w:start="0" w:end="0"/>
              <w:contextualSpacing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П.2.10.</w:t>
            </w:r>
            <w:r>
              <w:rPr>
                <w:sz w:val="24"/>
                <w:szCs w:val="24"/>
                <w:lang w:val="en-US"/>
              </w:rPr>
              <w:t>b</w:t>
            </w:r>
            <w:r>
              <w:rPr>
                <w:sz w:val="24"/>
                <w:szCs w:val="24"/>
              </w:rPr>
              <w:t xml:space="preserve">) Приложения №2 к Извещению о проведении закупки: в составе заявки не предоставлены лицензии ФСТЭК и ФСБ </w:t>
            </w:r>
            <w:r>
              <w:rPr>
                <w:i/>
                <w:sz w:val="24"/>
                <w:szCs w:val="24"/>
              </w:rPr>
              <w:t>(на основании отрицательного заключения эксперта: Директора департамента информационной безопасности - В.А. Краснокутского)</w:t>
            </w:r>
          </w:p>
        </w:tc>
      </w:tr>
    </w:tbl>
    <w:p>
      <w:pPr>
        <w:pStyle w:val="Style26"/>
        <w:widowControl w:val="false"/>
        <w:tabs>
          <w:tab w:val="clear" w:pos="709"/>
          <w:tab w:val="left" w:pos="0" w:leader="none"/>
          <w:tab w:val="left" w:pos="284" w:leader="none"/>
        </w:tabs>
        <w:spacing w:lineRule="auto" w:line="240" w:before="120" w:after="0"/>
        <w:ind w:hanging="0" w:start="0" w:end="0"/>
        <w:contextualSpacing w:val="false"/>
        <w:rPr/>
      </w:pPr>
      <w:r>
        <w:rPr>
          <w:b/>
          <w:sz w:val="24"/>
          <w:szCs w:val="24"/>
        </w:rPr>
        <w:t>По итогам рассмотрения всего допущено – 0 заявок</w:t>
      </w:r>
    </w:p>
    <w:p>
      <w:pPr>
        <w:pStyle w:val="Style26"/>
        <w:widowControl w:val="false"/>
        <w:tabs>
          <w:tab w:val="clear" w:pos="709"/>
          <w:tab w:val="left" w:pos="567" w:leader="none"/>
        </w:tabs>
        <w:spacing w:lineRule="auto" w:line="240" w:before="0" w:after="0"/>
        <w:ind w:hanging="0" w:start="0" w:end="2"/>
        <w:contextualSpacing w:val="false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По итогам рассмотрения всего отклонено - 2 заявки. </w:t>
      </w:r>
    </w:p>
    <w:p>
      <w:pPr>
        <w:pStyle w:val="Style26"/>
        <w:widowControl w:val="false"/>
        <w:tabs>
          <w:tab w:val="clear" w:pos="709"/>
          <w:tab w:val="left" w:pos="0" w:leader="none"/>
          <w:tab w:val="left" w:pos="284" w:leader="none"/>
        </w:tabs>
        <w:spacing w:lineRule="auto" w:line="240" w:before="0" w:after="0"/>
        <w:ind w:hanging="0" w:start="0" w:end="0"/>
        <w:contextualSpacing w:val="false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Style26"/>
        <w:widowControl w:val="false"/>
        <w:numPr>
          <w:ilvl w:val="1"/>
          <w:numId w:val="2"/>
        </w:numPr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В связи </w:t>
      </w:r>
      <w:r>
        <w:rPr>
          <w:bCs/>
          <w:sz w:val="24"/>
          <w:szCs w:val="24"/>
        </w:rPr>
        <w:t>с тем, что</w:t>
      </w:r>
      <w:r>
        <w:rPr>
          <w:sz w:val="24"/>
          <w:szCs w:val="24"/>
        </w:rPr>
        <w:t xml:space="preserve"> по результатам проведения закупки все заявки на участие в закупке отклонены</w:t>
      </w:r>
      <w:r>
        <w:rPr>
          <w:bCs/>
          <w:sz w:val="24"/>
          <w:szCs w:val="24"/>
        </w:rPr>
        <w:t xml:space="preserve">, в </w:t>
      </w:r>
      <w:r>
        <w:rPr>
          <w:sz w:val="24"/>
          <w:szCs w:val="24"/>
        </w:rPr>
        <w:t>соответствии с п.5.3.б) Приложения №2 к Извещению о проведении закупки признать закупку</w:t>
      </w:r>
      <w:r>
        <w:rPr>
          <w:bCs/>
          <w:sz w:val="24"/>
          <w:szCs w:val="24"/>
        </w:rPr>
        <w:t xml:space="preserve"> </w:t>
      </w:r>
      <w:r>
        <w:rPr>
          <w:sz w:val="24"/>
          <w:szCs w:val="24"/>
        </w:rPr>
        <w:t>несостоявшейся.</w:t>
      </w:r>
    </w:p>
    <w:p>
      <w:pPr>
        <w:pStyle w:val="Style26"/>
        <w:widowControl w:val="false"/>
        <w:numPr>
          <w:ilvl w:val="1"/>
          <w:numId w:val="2"/>
        </w:numPr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contextualSpacing w:val="false"/>
        <w:rPr>
          <w:sz w:val="24"/>
          <w:szCs w:val="24"/>
        </w:rPr>
      </w:pPr>
      <w:r>
        <w:rPr>
          <w:sz w:val="24"/>
          <w:szCs w:val="24"/>
        </w:rPr>
        <w:t>Организатору закупки - Департаменту организации конкурсных процедур ПАО «Россети</w:t>
      </w:r>
      <w:r>
        <w:rPr>
          <w:bCs/>
          <w:sz w:val="24"/>
          <w:szCs w:val="24"/>
        </w:rPr>
        <w:t xml:space="preserve"> Московский регион» </w:t>
      </w:r>
      <w:r>
        <w:rPr>
          <w:sz w:val="24"/>
          <w:szCs w:val="24"/>
        </w:rPr>
        <w:t>вернуть техническое задание Инициатору закупки.</w:t>
      </w:r>
    </w:p>
    <w:p>
      <w:pPr>
        <w:pStyle w:val="21"/>
        <w:keepNext w:val="true"/>
        <w:spacing w:before="0" w:after="0"/>
        <w:ind w:start="0" w:end="-153"/>
        <w:contextualSpacing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5"/>
        </w:numPr>
        <w:spacing w:before="120" w:after="0"/>
        <w:ind w:hanging="567" w:start="567" w:end="0"/>
        <w:rPr>
          <w:rFonts w:ascii="Times New Roman" w:hAnsi="Times New Roman" w:cs="Times New Roman"/>
          <w:sz w:val="23"/>
          <w:szCs w:val="23"/>
        </w:rPr>
      </w:pPr>
      <w:r>
        <w:rPr>
          <w:rFonts w:cs="Times New Roman" w:ascii="Times New Roman" w:hAnsi="Times New Roman"/>
          <w:sz w:val="23"/>
          <w:szCs w:val="23"/>
        </w:rPr>
        <w:t>РЕЗУЛЬТАТЫ ГОЛОСОВАНИЯ (в соответствии с опросными листами):</w:t>
      </w:r>
    </w:p>
    <w:p>
      <w:pPr>
        <w:pStyle w:val="Normal"/>
        <w:widowControl w:val="false"/>
        <w:suppressAutoHyphens w:val="true"/>
        <w:spacing w:lineRule="auto" w:line="240" w:before="120" w:after="0"/>
        <w:ind w:hanging="0" w:end="0"/>
        <w:rPr>
          <w:sz w:val="24"/>
          <w:szCs w:val="24"/>
        </w:rPr>
      </w:pPr>
      <w:r>
        <w:rPr>
          <w:sz w:val="24"/>
          <w:szCs w:val="24"/>
        </w:rPr>
        <w:t>«За» - 11 (одиннадцать)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 w:end="0"/>
        <w:rPr/>
      </w:pPr>
      <w:r>
        <w:rPr>
          <w:sz w:val="24"/>
          <w:szCs w:val="24"/>
        </w:rPr>
        <w:t>«Против»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 w:end="0"/>
        <w:rPr/>
      </w:pPr>
      <w:r>
        <w:rPr>
          <w:sz w:val="24"/>
          <w:szCs w:val="24"/>
        </w:rPr>
        <w:t>«Воздержалось»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>Решение принято единогласно.</w:t>
      </w:r>
    </w:p>
    <w:p>
      <w:pPr>
        <w:pStyle w:val="Normal"/>
        <w:widowControl w:val="false"/>
        <w:suppressAutoHyphens w:val="true"/>
        <w:spacing w:lineRule="auto" w:line="276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5"/>
        </w:numPr>
        <w:spacing w:before="0" w:after="0"/>
        <w:ind w:hanging="567" w:start="567" w:end="0"/>
        <w:rPr>
          <w:rFonts w:ascii="Times New Roman" w:hAnsi="Times New Roman" w:cs="Times New Roman"/>
          <w:sz w:val="23"/>
          <w:szCs w:val="23"/>
        </w:rPr>
      </w:pPr>
      <w:r>
        <w:rPr>
          <w:rFonts w:cs="Times New Roman" w:ascii="Times New Roman" w:hAnsi="Times New Roman"/>
          <w:sz w:val="23"/>
          <w:szCs w:val="23"/>
        </w:rPr>
        <w:t>ПОДПИСИ:</w:t>
      </w:r>
    </w:p>
    <w:tbl>
      <w:tblPr>
        <w:tblpPr w:vertAnchor="text" w:horzAnchor="margin" w:leftFromText="180" w:rightFromText="180" w:tblpX="113" w:tblpY="278"/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51"/>
        <w:gridCol w:w="1985"/>
        <w:gridCol w:w="1984"/>
        <w:gridCol w:w="4145"/>
      </w:tblGrid>
      <w:tr>
        <w:trPr>
          <w:trHeight w:val="982" w:hRule="atLeast"/>
        </w:trPr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start"/>
              <w:rPr/>
            </w:pPr>
            <w:r>
              <w:rPr>
                <w:sz w:val="24"/>
                <w:szCs w:val="24"/>
              </w:rPr>
              <w:t>Заместитель Председателя</w:t>
            </w:r>
            <w:r>
              <w:rPr>
                <w:bCs/>
                <w:sz w:val="24"/>
                <w:szCs w:val="24"/>
              </w:rPr>
              <w:t xml:space="preserve"> К</w:t>
            </w:r>
            <w:r>
              <w:rPr>
                <w:sz w:val="24"/>
                <w:szCs w:val="24"/>
              </w:rPr>
              <w:t>омиссии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Старостина Я.О.</w:t>
            </w:r>
          </w:p>
        </w:tc>
        <w:tc>
          <w:tcPr>
            <w:tcW w:w="4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Директор департамента организации конкурсных процедур </w:t>
            </w:r>
            <w:r>
              <w:rPr>
                <w:bCs/>
                <w:sz w:val="24"/>
                <w:szCs w:val="24"/>
              </w:rPr>
              <w:t>ПАО «Россети Московский регион»</w:t>
            </w:r>
          </w:p>
        </w:tc>
      </w:tr>
      <w:tr>
        <w:trPr>
          <w:trHeight w:val="981" w:hRule="atLeast"/>
        </w:trPr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Секретарь Комиссии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4"/>
                <w:szCs w:val="24"/>
              </w:rPr>
              <w:t>Гусев К.В.</w:t>
            </w:r>
          </w:p>
        </w:tc>
        <w:tc>
          <w:tcPr>
            <w:tcW w:w="4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Начальник управления организации конкурсных закупок ПАО «Россети Московский регион»</w:t>
            </w:r>
          </w:p>
        </w:tc>
      </w:tr>
    </w:tbl>
    <w:p>
      <w:pPr>
        <w:pStyle w:val="Normal"/>
        <w:widowControl w:val="false"/>
        <w:spacing w:lineRule="auto" w:line="240"/>
        <w:ind w:hanging="0" w:end="0"/>
        <w:rPr>
          <w:i/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</w:r>
    </w:p>
    <w:p>
      <w:pPr>
        <w:pStyle w:val="Normal"/>
        <w:widowControl w:val="false"/>
        <w:spacing w:lineRule="auto" w:line="240"/>
        <w:ind w:hanging="0" w:end="0"/>
        <w:rPr>
          <w:i/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</w:r>
    </w:p>
    <w:p>
      <w:pPr>
        <w:pStyle w:val="Normal"/>
        <w:widowControl w:val="false"/>
        <w:spacing w:lineRule="auto" w:line="240"/>
        <w:ind w:hanging="0" w:end="0"/>
        <w:rPr>
          <w:i/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Огородникова Е.А.   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i/>
          <w:sz w:val="22"/>
          <w:szCs w:val="22"/>
        </w:rPr>
        <w:t>+7 (495) 662-40-70  (вн. 47-73)</w:t>
      </w:r>
    </w:p>
    <w:sectPr>
      <w:footerReference w:type="default" r:id="rId3"/>
      <w:type w:val="nextPage"/>
      <w:pgSz w:w="11906" w:h="16838"/>
      <w:pgMar w:left="1080" w:right="849" w:gutter="0" w:header="0" w:top="426" w:footer="321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Arial Unicode MS">
    <w:charset w:val="8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 w:cs="Times New Roman"/>
        <w:sz w:val="16"/>
        <w:szCs w:val="16"/>
      </w:rPr>
    </w:pPr>
    <w:r>
      <w:rPr>
        <w:rFonts w:cs="Times New Roman" w:ascii="Times New Roman" w:hAnsi="Times New Roman"/>
        <w:sz w:val="16"/>
        <w:szCs w:val="16"/>
      </w:rPr>
      <w:t>Протокол №РМР/5652</w:t>
    </w:r>
    <w:r>
      <mc:AlternateContent>
        <mc:Choice Requires="wps">
          <w:drawing>
            <wp:anchor behindDoc="0" distT="0" distB="0" distL="0" distR="0" simplePos="0" locked="0" layoutInCell="0" allowOverlap="1" relativeHeight="5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3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3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 w:cs="Times New Roman"/>
        <w:sz w:val="16"/>
        <w:szCs w:val="16"/>
      </w:rPr>
    </w:pPr>
    <w:r>
      <w:rPr>
        <w:rFonts w:cs="Times New Roman" w:ascii="Times New Roman" w:hAnsi="Times New Roman"/>
        <w:sz w:val="16"/>
        <w:szCs w:val="16"/>
      </w:rPr>
      <w:t>очно-заочного заседания Постоянно действующей конкурсной комиссии (далее - Комиссия) по рассмотрению заявок Участников и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 w:cs="Times New Roman"/>
        <w:sz w:val="16"/>
        <w:szCs w:val="16"/>
      </w:rPr>
    </w:pPr>
    <w:r>
      <w:rPr>
        <w:rFonts w:cs="Times New Roman" w:ascii="Times New Roman" w:hAnsi="Times New Roman"/>
        <w:sz w:val="16"/>
        <w:szCs w:val="16"/>
      </w:rPr>
      <w:t>подведению итогов закупки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/>
    </w:pPr>
    <w:r>
      <w:rPr>
        <w:rFonts w:cs="Times New Roman" w:ascii="Times New Roman" w:hAnsi="Times New Roman"/>
        <w:sz w:val="16"/>
        <w:szCs w:val="16"/>
      </w:rPr>
      <w:t xml:space="preserve"> </w:t>
    </w:r>
    <w:r>
      <w:rPr>
        <w:rFonts w:cs="Times New Roman" w:ascii="Times New Roman" w:hAnsi="Times New Roman"/>
        <w:sz w:val="16"/>
        <w:szCs w:val="16"/>
      </w:rPr>
      <w:t xml:space="preserve">(ЕИС № </w:t>
    </w:r>
    <w:r>
      <w:rPr>
        <w:rFonts w:cs="Times New Roman" w:ascii="Times New Roman" w:hAnsi="Times New Roman"/>
        <w:kern w:val="2"/>
        <w:sz w:val="16"/>
        <w:szCs w:val="16"/>
      </w:rPr>
      <w:t>32515462412</w:t>
    </w:r>
    <w:r>
      <w:rPr>
        <w:rFonts w:cs="Times New Roman" w:ascii="Times New Roman" w:hAnsi="Times New Roman"/>
        <w:sz w:val="16"/>
        <w:szCs w:val="16"/>
      </w:rPr>
      <w:t>)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pStyle w:val="Heading3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pStyle w:val="Heading4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/>
      </w:rPr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644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08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44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80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1142" w:hanging="432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5">
    <w:lvl w:ilvl="0">
      <w:start w:val="1"/>
      <w:numFmt w:val="upperRoman"/>
      <w:lvlText w:val="%1."/>
      <w:lvlJc w:val="start"/>
      <w:pPr>
        <w:tabs>
          <w:tab w:val="num" w:pos="0"/>
        </w:tabs>
        <w:ind w:start="862" w:hanging="72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tabs>
        <w:tab w:val="clear" w:pos="709"/>
        <w:tab w:val="left" w:pos="1134" w:leader="none"/>
      </w:tabs>
      <w:suppressAutoHyphens w:val="true"/>
      <w:spacing w:lineRule="auto" w:line="240" w:before="360" w:after="120"/>
      <w:ind w:hanging="1134" w:start="1134" w:end="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b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7z1">
    <w:name w:val="WW8Num7z1"/>
    <w:qFormat/>
    <w:rPr>
      <w:b/>
    </w:rPr>
  </w:style>
  <w:style w:type="character" w:styleId="WW8Num7z2">
    <w:name w:val="WW8Num7z2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>
      <w:sz w:val="24"/>
    </w:rPr>
  </w:style>
  <w:style w:type="character" w:styleId="WW8Num11z0">
    <w:name w:val="WW8Num11z0"/>
    <w:qFormat/>
    <w:rPr>
      <w:b/>
    </w:rPr>
  </w:style>
  <w:style w:type="character" w:styleId="WW8Num11z1">
    <w:name w:val="WW8Num11z1"/>
    <w:qFormat/>
    <w:rPr>
      <w:b/>
    </w:rPr>
  </w:style>
  <w:style w:type="character" w:styleId="WW8Num12z0">
    <w:name w:val="WW8Num12z0"/>
    <w:qFormat/>
    <w:rPr/>
  </w:style>
  <w:style w:type="character" w:styleId="WW8Num13z0">
    <w:name w:val="WW8Num13z0"/>
    <w:qFormat/>
    <w:rPr>
      <w:rFonts w:ascii="Times New Roman" w:hAnsi="Times New Roman" w:eastAsia="Times New Roman" w:cs="Times New Roman"/>
    </w:rPr>
  </w:style>
  <w:style w:type="character" w:styleId="WW8Num14z0">
    <w:name w:val="WW8Num14z0"/>
    <w:qFormat/>
    <w:rPr/>
  </w:style>
  <w:style w:type="character" w:styleId="WW8Num14z1">
    <w:name w:val="WW8Num14z1"/>
    <w:qFormat/>
    <w:rPr>
      <w:sz w:val="20"/>
    </w:rPr>
  </w:style>
  <w:style w:type="character" w:styleId="WW8Num15z0">
    <w:name w:val="WW8Num15z0"/>
    <w:qFormat/>
    <w:rPr/>
  </w:style>
  <w:style w:type="character" w:styleId="WW8Num16z0">
    <w:name w:val="WW8Num16z0"/>
    <w:qFormat/>
    <w:rPr>
      <w:b/>
      <w:color w:val="000000"/>
    </w:rPr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>
      <w:rFonts w:ascii="Times New Roman" w:hAnsi="Times New Roman" w:cs="Times New Roman"/>
    </w:rPr>
  </w:style>
  <w:style w:type="character" w:styleId="WW8Num28z1">
    <w:name w:val="WW8Num28z1"/>
    <w:qFormat/>
    <w:rPr>
      <w:b/>
    </w:rPr>
  </w:style>
  <w:style w:type="character" w:styleId="WW8Num28z2">
    <w:name w:val="WW8Num28z2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/>
  </w:style>
  <w:style w:type="character" w:styleId="WW8Num32z0">
    <w:name w:val="WW8Num32z0"/>
    <w:qFormat/>
    <w:rPr/>
  </w:style>
  <w:style w:type="character" w:styleId="WW8Num33z0">
    <w:name w:val="WW8Num33z0"/>
    <w:qFormat/>
    <w:rPr/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WW8Num36z0">
    <w:name w:val="WW8Num36z0"/>
    <w:qFormat/>
    <w:rPr/>
  </w:style>
  <w:style w:type="character" w:styleId="Style10">
    <w:name w:val="Основной шрифт абзаца"/>
    <w:qFormat/>
    <w:rPr/>
  </w:style>
  <w:style w:type="character" w:styleId="Style11">
    <w:name w:val="комментарий"/>
    <w:qFormat/>
    <w:rPr>
      <w:b/>
      <w:i/>
      <w:shd w:fill="FFFF99" w:val="clear"/>
    </w:rPr>
  </w:style>
  <w:style w:type="character" w:styleId="PageNumber">
    <w:name w:val="page number"/>
    <w:basedOn w:val="Style10"/>
    <w:rPr/>
  </w:style>
  <w:style w:type="character" w:styleId="Style12">
    <w:name w:val="Пункт Знак"/>
    <w:qFormat/>
    <w:rPr>
      <w:b/>
      <w:sz w:val="28"/>
      <w:szCs w:val="28"/>
      <w:lang w:val="ru-RU" w:bidi="ar-SA"/>
    </w:rPr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character" w:styleId="Style13">
    <w:name w:val="Верхний колонтитул Знак"/>
    <w:qFormat/>
    <w:rPr>
      <w:sz w:val="28"/>
      <w:lang w:val="ru-RU" w:bidi="ar-SA"/>
    </w:rPr>
  </w:style>
  <w:style w:type="character" w:styleId="1">
    <w:name w:val="Пункт Знак1"/>
    <w:qFormat/>
    <w:rPr>
      <w:b/>
      <w:sz w:val="28"/>
      <w:szCs w:val="28"/>
      <w:lang w:val="ru-RU" w:bidi="ar-SA"/>
    </w:rPr>
  </w:style>
  <w:style w:type="character" w:styleId="webofficeattributevalue1">
    <w:name w:val="webofficeattributevalue1"/>
    <w:qFormat/>
    <w:rPr>
      <w:rFonts w:ascii="Verdana" w:hAnsi="Verdana" w:cs="Verdana"/>
      <w:strike w:val="false"/>
      <w:dstrike w:val="false"/>
      <w:color w:val="000000"/>
      <w:sz w:val="16"/>
      <w:szCs w:val="16"/>
      <w:u w:val="none"/>
    </w:rPr>
  </w:style>
  <w:style w:type="character" w:styleId="value">
    <w:name w:val="value"/>
    <w:basedOn w:val="Style10"/>
    <w:qFormat/>
    <w:rPr/>
  </w:style>
  <w:style w:type="character" w:styleId="x-small1">
    <w:name w:val="x-small1"/>
    <w:qFormat/>
    <w:rPr>
      <w:sz w:val="18"/>
      <w:szCs w:val="18"/>
    </w:rPr>
  </w:style>
  <w:style w:type="character" w:styleId="Style14">
    <w:name w:val="Замещающий текст"/>
    <w:qFormat/>
    <w:rPr>
      <w:color w:val="808080"/>
    </w:rPr>
  </w:style>
  <w:style w:type="character" w:styleId="Style15">
    <w:name w:val="Название Знак"/>
    <w:qFormat/>
    <w:rPr>
      <w:sz w:val="28"/>
      <w:szCs w:val="24"/>
    </w:rPr>
  </w:style>
  <w:style w:type="character" w:styleId="11">
    <w:name w:val="Подпункт Знак1"/>
    <w:qFormat/>
    <w:rPr>
      <w:sz w:val="22"/>
    </w:rPr>
  </w:style>
  <w:style w:type="character" w:styleId="2">
    <w:name w:val="Основной текст с отступом 2 Знак"/>
    <w:qFormat/>
    <w:rPr>
      <w:sz w:val="24"/>
    </w:rPr>
  </w:style>
  <w:style w:type="paragraph" w:styleId="Heading">
    <w:name w:val="Heading"/>
    <w:basedOn w:val="Normal"/>
    <w:next w:val="BodyText"/>
    <w:qFormat/>
    <w:pPr>
      <w:ind w:hanging="0" w:start="0" w:end="0"/>
      <w:jc w:val="center"/>
    </w:pPr>
    <w:rPr>
      <w:szCs w:val="24"/>
      <w:lang w:val="en-US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2">
    <w:name w:val="Стиль Заголовок 1 + по ширине"/>
    <w:basedOn w:val="Heading1"/>
    <w:qFormat/>
    <w:pPr>
      <w:keepLines/>
      <w:numPr>
        <w:ilvl w:val="0"/>
        <w:numId w:val="4"/>
      </w:numPr>
      <w:suppressAutoHyphens w:val="true"/>
      <w:spacing w:lineRule="auto" w:line="240" w:before="480" w:after="240"/>
    </w:pPr>
    <w:rPr>
      <w:rFonts w:cs="Times New Roman"/>
      <w:kern w:val="2"/>
      <w:sz w:val="40"/>
      <w:szCs w:val="20"/>
    </w:rPr>
  </w:style>
  <w:style w:type="paragraph" w:styleId="BodyTextIndent">
    <w:name w:val="Body Text Indent"/>
    <w:basedOn w:val="Normal"/>
    <w:pPr>
      <w:tabs>
        <w:tab w:val="clear" w:pos="709"/>
        <w:tab w:val="left" w:pos="720" w:leader="none"/>
      </w:tabs>
      <w:spacing w:lineRule="auto" w:line="240"/>
      <w:ind w:firstLine="567" w:start="-360" w:end="0"/>
    </w:pPr>
    <w:rPr>
      <w:sz w:val="26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Style16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17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8">
    <w:name w:val="Пункт"/>
    <w:basedOn w:val="Normal"/>
    <w:qFormat/>
    <w:pPr>
      <w:tabs>
        <w:tab w:val="clear" w:pos="709"/>
        <w:tab w:val="left" w:pos="1134" w:leader="none"/>
      </w:tabs>
      <w:ind w:hanging="1134" w:start="1134" w:end="0"/>
    </w:pPr>
    <w:rPr>
      <w:b/>
      <w:szCs w:val="28"/>
    </w:rPr>
  </w:style>
  <w:style w:type="paragraph" w:styleId="-2">
    <w:name w:val="Пункт-2"/>
    <w:basedOn w:val="Style18"/>
    <w:qFormat/>
    <w:pPr>
      <w:keepNext w:val="true"/>
      <w:outlineLvl w:val="2"/>
    </w:pPr>
    <w:rPr>
      <w:b w:val="false"/>
    </w:rPr>
  </w:style>
  <w:style w:type="paragraph" w:styleId="Style19">
    <w:name w:val="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WW-">
    <w:name w:val="WW-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20">
    <w:name w:val="Знак Знак Знак"/>
    <w:basedOn w:val="Normal"/>
    <w:qFormat/>
    <w:pPr>
      <w:tabs>
        <w:tab w:val="clear" w:pos="709"/>
        <w:tab w:val="left" w:pos="360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WW-1">
    <w:name w:val="WW-Знак1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13">
    <w:name w:val="Знак Знак Знак1 Знак Знак Знак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21">
    <w:name w:val="Нумерованный список"/>
    <w:basedOn w:val="Normal"/>
    <w:qFormat/>
    <w:pPr>
      <w:numPr>
        <w:ilvl w:val="0"/>
        <w:numId w:val="6"/>
      </w:numPr>
      <w:autoSpaceDE w:val="false"/>
      <w:spacing w:before="60" w:after="0"/>
    </w:pPr>
    <w:rPr>
      <w:bCs/>
      <w:sz w:val="22"/>
      <w:szCs w:val="24"/>
    </w:rPr>
  </w:style>
  <w:style w:type="paragraph" w:styleId="21">
    <w:name w:val="Основной текст с отступом 2"/>
    <w:basedOn w:val="Normal"/>
    <w:qFormat/>
    <w:pPr>
      <w:spacing w:lineRule="auto" w:line="240"/>
      <w:ind w:hanging="0" w:start="-540" w:end="0"/>
      <w:jc w:val="center"/>
    </w:pPr>
    <w:rPr>
      <w:sz w:val="24"/>
    </w:rPr>
  </w:style>
  <w:style w:type="paragraph" w:styleId="14">
    <w:name w:val="Обычный1"/>
    <w:qFormat/>
    <w:pPr>
      <w:widowControl w:val="false"/>
      <w:bidi w:val="0"/>
      <w:ind w:firstLine="400" w:start="0" w:end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xl34">
    <w:name w:val="xl34"/>
    <w:basedOn w:val="Normal"/>
    <w:qFormat/>
    <w:pPr>
      <w:pBdr>
        <w:left w:val="single" w:sz="4" w:space="0" w:color="000000"/>
        <w:right w:val="single" w:sz="4" w:space="0" w:color="000000"/>
      </w:pBdr>
      <w:spacing w:lineRule="auto" w:line="240" w:before="280" w:after="280"/>
      <w:ind w:hanging="0" w:start="0" w:end="0"/>
      <w:jc w:val="start"/>
    </w:pPr>
    <w:rPr>
      <w:rFonts w:ascii="Arial Unicode MS" w:hAnsi="Arial Unicode MS" w:eastAsia="Arial Unicode MS" w:cs="Arial Unicode MS"/>
      <w:sz w:val="24"/>
      <w:szCs w:val="24"/>
    </w:rPr>
  </w:style>
  <w:style w:type="paragraph" w:styleId="Style22">
    <w:name w:val="Знак Знак Знак Знак"/>
    <w:basedOn w:val="Normal"/>
    <w:qFormat/>
    <w:pPr>
      <w:tabs>
        <w:tab w:val="clear" w:pos="709"/>
        <w:tab w:val="left" w:pos="360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WW-11">
    <w:name w:val="WW-Знак Знак Знак1 Знак Знак Знак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23">
    <w:name w:val="Знак Знак Знак Знак Знак Знак Знак"/>
    <w:basedOn w:val="Normal"/>
    <w:qFormat/>
    <w:pPr>
      <w:tabs>
        <w:tab w:val="clear" w:pos="709"/>
        <w:tab w:val="left" w:pos="360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24">
    <w:name w:val="Ариал"/>
    <w:basedOn w:val="Normal"/>
    <w:qFormat/>
    <w:pPr>
      <w:spacing w:before="120" w:after="120"/>
      <w:ind w:firstLine="851" w:start="0" w:end="0"/>
    </w:pPr>
    <w:rPr>
      <w:rFonts w:ascii="Arial" w:hAnsi="Arial" w:cs="Arial"/>
      <w:sz w:val="24"/>
      <w:szCs w:val="24"/>
    </w:rPr>
  </w:style>
  <w:style w:type="paragraph" w:styleId="WW-2">
    <w:name w:val="WW-Знак Знак Знак Знак Знак Знак Знак"/>
    <w:basedOn w:val="Normal"/>
    <w:qFormat/>
    <w:pPr>
      <w:tabs>
        <w:tab w:val="clear" w:pos="709"/>
        <w:tab w:val="left" w:pos="360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3">
    <w:name w:val="Обычный3"/>
    <w:qFormat/>
    <w:pPr>
      <w:widowControl w:val="false"/>
      <w:bidi w:val="0"/>
      <w:ind w:firstLine="400" w:start="0" w:end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4">
    <w:name w:val="Обычный4"/>
    <w:qFormat/>
    <w:pPr>
      <w:widowControl/>
      <w:bidi w:val="0"/>
    </w:pPr>
    <w:rPr>
      <w:rFonts w:ascii="Arial" w:hAnsi="Arial" w:eastAsia="Times New Roman" w:cs="Arial"/>
      <w:color w:val="auto"/>
      <w:sz w:val="18"/>
      <w:szCs w:val="20"/>
      <w:lang w:val="ru-RU" w:bidi="ar-SA" w:eastAsia="zh-CN"/>
    </w:rPr>
  </w:style>
  <w:style w:type="paragraph" w:styleId="5">
    <w:name w:val="Обычный5"/>
    <w:qFormat/>
    <w:pPr>
      <w:widowControl w:val="false"/>
      <w:bidi w:val="0"/>
      <w:ind w:firstLine="400" w:start="0" w:end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22">
    <w:name w:val="Обычный2"/>
    <w:qFormat/>
    <w:pPr>
      <w:widowControl/>
      <w:bidi w:val="0"/>
      <w:spacing w:before="100" w:after="100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Style25">
    <w:name w:val="Обычный (веб)"/>
    <w:basedOn w:val="Normal"/>
    <w:qFormat/>
    <w:pPr>
      <w:spacing w:lineRule="auto" w:line="240" w:before="280" w:after="280"/>
      <w:ind w:hanging="0" w:start="0" w:end="0"/>
      <w:jc w:val="start"/>
    </w:pPr>
    <w:rPr>
      <w:sz w:val="24"/>
      <w:szCs w:val="24"/>
    </w:rPr>
  </w:style>
  <w:style w:type="paragraph" w:styleId="WW-12">
    <w:name w:val="WW-Обычный1"/>
    <w:qFormat/>
    <w:pPr>
      <w:widowControl w:val="false"/>
      <w:bidi w:val="0"/>
      <w:ind w:firstLine="400" w:start="0" w:end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Style26">
    <w:name w:val="Абзац списка"/>
    <w:basedOn w:val="Normal"/>
    <w:qFormat/>
    <w:pPr>
      <w:suppressAutoHyphens w:val="true"/>
      <w:spacing w:before="0" w:after="0"/>
      <w:ind w:firstLine="567" w:start="720" w:end="0"/>
      <w:contextualSpacing/>
    </w:pPr>
    <w:rPr>
      <w:kern w:val="2"/>
    </w:rPr>
  </w:style>
  <w:style w:type="paragraph" w:styleId="Style27">
    <w:name w:val="Подпункт"/>
    <w:basedOn w:val="Normal"/>
    <w:qFormat/>
    <w:pPr>
      <w:tabs>
        <w:tab w:val="clear" w:pos="709"/>
        <w:tab w:val="left" w:pos="1701" w:leader="none"/>
      </w:tabs>
      <w:ind w:hanging="1134" w:start="1701" w:end="0"/>
    </w:pPr>
    <w:rPr>
      <w:sz w:val="22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tender.lot-online.ru/" TargetMode="Externa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ПрРРП1.dotx</Template>
  <TotalTime>4447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2018-06-29T10:41:00Z</dcterms:created>
  <dc:creator>moesk</dc:creator>
  <dc:description>1815</dc:description>
  <cp:keywords/>
  <dc:language>en-US</dc:language>
  <cp:lastModifiedBy>Огородникова Елена Алексеевна</cp:lastModifiedBy>
  <cp:lastPrinted>2020-01-15T10:06:00Z</cp:lastPrinted>
  <dcterms:modified xsi:type="dcterms:W3CDTF">2025-12-11T08:13:00Z</dcterms:modified>
  <cp:revision>3910</cp:revision>
  <dc:subject>B2B-Moesk №1036357</dc:subject>
  <dc:title>Протокол заседания Конкурсной комиссии по оценке конкурсных заявок и выбору Победителя конкурса</dc:title>
</cp:coreProperties>
</file>