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media/image1.jpe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jc w:val="center"/>
        <w:rPr>
          <w:rFonts w:ascii="Liberation Sans" w:hAnsi="Liberation Sans" w:cs="Liberation Sans"/>
          <w:b/>
          <w:sz w:val="22"/>
          <w:szCs w:val="22"/>
        </w:rPr>
      </w:pPr>
      <w:r>
        <w:rPr>
          <w:rFonts w:cs="Liberation Sans" w:ascii="Liberation Sans" w:hAnsi="Liberation Sans"/>
          <w:b/>
          <w:sz w:val="22"/>
          <w:szCs w:val="22"/>
        </w:rPr>
        <w:t>ПРОТОКОЛ</w:t>
      </w:r>
    </w:p>
    <w:p>
      <w:pPr>
        <w:pStyle w:val="Normal"/>
        <w:widowControl w:val="false"/>
        <w:jc w:val="center"/>
        <w:rPr>
          <w:rFonts w:ascii="Liberation Sans" w:hAnsi="Liberation Sans" w:cs="Liberation Sans"/>
          <w:bCs/>
          <w:sz w:val="22"/>
          <w:szCs w:val="22"/>
        </w:rPr>
      </w:pPr>
      <w:r>
        <w:rPr>
          <w:rFonts w:cs="Liberation Sans" w:ascii="Liberation Sans" w:hAnsi="Liberation Sans"/>
          <w:sz w:val="22"/>
          <w:szCs w:val="22"/>
        </w:rPr>
        <w:t xml:space="preserve">заседания Закупочной комиссии </w:t>
      </w:r>
      <w:r>
        <w:rPr>
          <w:rFonts w:cs="Liberation Sans" w:ascii="Liberation Sans" w:hAnsi="Liberation Sans"/>
          <w:bCs/>
          <w:sz w:val="22"/>
          <w:szCs w:val="22"/>
        </w:rPr>
        <w:t>по оценке заявок на участие в закупке</w:t>
      </w:r>
    </w:p>
    <w:p>
      <w:pPr>
        <w:pStyle w:val="Normal"/>
        <w:widowControl w:val="false"/>
        <w:jc w:val="center"/>
        <w:rPr>
          <w:rFonts w:ascii="Liberation Sans" w:hAnsi="Liberation Sans" w:cs="Liberation Sans"/>
          <w:bCs/>
          <w:sz w:val="22"/>
          <w:szCs w:val="22"/>
        </w:rPr>
      </w:pPr>
      <w:r>
        <w:rPr>
          <w:rFonts w:cs="Liberation Sans" w:ascii="Liberation Sans" w:hAnsi="Liberation Sans"/>
          <w:bCs/>
          <w:sz w:val="22"/>
          <w:szCs w:val="22"/>
        </w:rPr>
        <w:t xml:space="preserve"> </w:t>
      </w:r>
      <w:r>
        <w:rPr>
          <w:rFonts w:cs="Liberation Sans" w:ascii="Liberation Sans" w:hAnsi="Liberation Sans"/>
          <w:bCs/>
          <w:sz w:val="22"/>
          <w:szCs w:val="22"/>
        </w:rPr>
        <w:t xml:space="preserve">и признание закупки несостоявшейся       </w:t>
      </w:r>
    </w:p>
    <w:p>
      <w:pPr>
        <w:pStyle w:val="Normal"/>
        <w:widowControl w:val="false"/>
        <w:spacing w:before="60" w:after="60"/>
        <w:jc w:val="center"/>
        <w:rPr/>
      </w:pPr>
      <w:r>
        <w:rPr>
          <w:rFonts w:cs="Liberation Sans" w:ascii="Liberation Sans" w:hAnsi="Liberation Sans"/>
          <w:b/>
          <w:sz w:val="22"/>
          <w:szCs w:val="22"/>
        </w:rPr>
        <w:t>г. </w:t>
      </w:r>
      <w:r>
        <w:rPr/>
        <w:t>Москва</w:t>
      </w:r>
    </w:p>
    <w:tbl>
      <w:tblPr>
        <w:tblW w:w="1017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70"/>
        <w:gridCol w:w="5103"/>
      </w:tblGrid>
      <w:tr>
        <w:trPr/>
        <w:tc>
          <w:tcPr>
            <w:tcW w:w="507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Номер Протокола: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№</w:t>
            </w:r>
            <w:r>
              <w:rPr>
                <w:rFonts w:cs="Liberation Sans" w:ascii="Liberation Sans" w:hAnsi="Liberation Sans"/>
                <w:sz w:val="22"/>
                <w:szCs w:val="22"/>
              </w:rPr>
              <w:t>220322/ОК-ПН</w:t>
            </w:r>
          </w:p>
        </w:tc>
      </w:tr>
      <w:tr>
        <w:trPr/>
        <w:tc>
          <w:tcPr>
            <w:tcW w:w="507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Способ закупки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Открытый конкурс</w:t>
            </w:r>
          </w:p>
        </w:tc>
      </w:tr>
      <w:tr>
        <w:trPr/>
        <w:tc>
          <w:tcPr>
            <w:tcW w:w="507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Предмет закупки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«Оказание услуг по списанию показаний приборов учета расхода электроэнергии АО «Екатеринбургэнергосбыт»</w:t>
            </w:r>
          </w:p>
        </w:tc>
      </w:tr>
      <w:tr>
        <w:trPr/>
        <w:tc>
          <w:tcPr>
            <w:tcW w:w="507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Дата/время проведения заседания: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«12» декабря 2025 г. 10:00 (МСК)</w:t>
            </w:r>
          </w:p>
        </w:tc>
      </w:tr>
      <w:tr>
        <w:trPr/>
        <w:tc>
          <w:tcPr>
            <w:tcW w:w="507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Дата подписания протокола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«12» декабря 2025 г.</w:t>
            </w:r>
          </w:p>
        </w:tc>
      </w:tr>
      <w:tr>
        <w:trPr/>
        <w:tc>
          <w:tcPr>
            <w:tcW w:w="507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Начальная (максимальная) цена: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10 644 000,00 руб. без НДС</w:t>
            </w:r>
          </w:p>
        </w:tc>
      </w:tr>
      <w:tr>
        <w:trPr/>
        <w:tc>
          <w:tcPr>
            <w:tcW w:w="507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Участниками могут быть только субъекты МСП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нет</w:t>
            </w:r>
          </w:p>
        </w:tc>
      </w:tr>
      <w:tr>
        <w:trPr/>
        <w:tc>
          <w:tcPr>
            <w:tcW w:w="507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Объем, цена закупаемых товаров, работ, услуг, срок исполнения договора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в соответствии с Закупочной документацией</w:t>
            </w:r>
          </w:p>
        </w:tc>
      </w:tr>
    </w:tbl>
    <w:p>
      <w:pPr>
        <w:pStyle w:val="Normal"/>
        <w:ind w:firstLine="709" w:end="0"/>
        <w:rPr>
          <w:rFonts w:ascii="Liberation Sans" w:hAnsi="Liberation Sans" w:cs="Liberation Sans"/>
          <w:b/>
          <w:sz w:val="22"/>
          <w:szCs w:val="22"/>
        </w:rPr>
      </w:pPr>
      <w:r>
        <w:rPr>
          <w:rFonts w:cs="Liberation Sans" w:ascii="Liberation Sans" w:hAnsi="Liberation Sans"/>
          <w:b/>
          <w:sz w:val="22"/>
          <w:szCs w:val="22"/>
        </w:rPr>
        <w:t xml:space="preserve">ВОПРОСЫ ЗАСЕДАНИЯ ЗАКУПОЧНОЙ КОМИССИИ: </w:t>
      </w:r>
    </w:p>
    <w:p>
      <w:pPr>
        <w:pStyle w:val="Normal"/>
        <w:ind w:firstLine="709" w:end="0"/>
        <w:rPr>
          <w:rFonts w:ascii="Liberation Sans" w:hAnsi="Liberation Sans" w:cs="Liberation Sans"/>
          <w:i/>
          <w:i/>
          <w:color w:val="548DD4"/>
          <w:sz w:val="22"/>
          <w:szCs w:val="22"/>
        </w:rPr>
      </w:pPr>
      <w:r>
        <w:rPr>
          <w:rFonts w:cs="Liberation Sans" w:ascii="Liberation Sans" w:hAnsi="Liberation Sans"/>
          <w:i/>
          <w:color w:val="548DD4"/>
          <w:sz w:val="22"/>
          <w:szCs w:val="22"/>
        </w:rPr>
        <w:t xml:space="preserve">На участие в закупке было подано: 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4"/>
        <w:gridCol w:w="4114"/>
        <w:gridCol w:w="5245"/>
      </w:tblGrid>
      <w:tr>
        <w:trPr>
          <w:tblHeader w:val="true"/>
          <w:trHeight w:val="473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ind w:start="-108" w:end="-108"/>
              <w:jc w:val="center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№</w:t>
            </w:r>
          </w:p>
          <w:p>
            <w:pPr>
              <w:pStyle w:val="Normal"/>
              <w:keepNext w:val="true"/>
              <w:ind w:start="-108" w:end="-108"/>
              <w:jc w:val="center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п/п</w:t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ind w:start="57" w:end="57"/>
              <w:jc w:val="center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Порядковый номер Участника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ind w:start="57" w:end="57"/>
              <w:jc w:val="center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Дата и время регистрации заявки, Общая цена заявки на участие в закупке</w:t>
            </w:r>
          </w:p>
        </w:tc>
      </w:tr>
      <w:tr>
        <w:trPr>
          <w:tblHeader w:val="true"/>
          <w:trHeight w:val="275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ind w:start="34" w:end="0"/>
              <w:jc w:val="center"/>
              <w:rPr>
                <w:rFonts w:ascii="Liberation Sans" w:hAnsi="Liberation Sans" w:cs="Liberation Sans"/>
                <w:i/>
                <w:i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i/>
                <w:sz w:val="22"/>
                <w:szCs w:val="22"/>
              </w:rPr>
              <w:t>1</w:t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ind w:start="57" w:end="57"/>
              <w:jc w:val="center"/>
              <w:rPr>
                <w:rFonts w:ascii="Liberation Sans" w:hAnsi="Liberation Sans" w:cs="Liberation Sans"/>
                <w:i/>
                <w:i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i/>
                <w:sz w:val="22"/>
                <w:szCs w:val="22"/>
              </w:rPr>
              <w:t>2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ind w:start="57" w:end="57"/>
              <w:jc w:val="center"/>
              <w:rPr>
                <w:rFonts w:ascii="Liberation Sans" w:hAnsi="Liberation Sans" w:cs="Liberation Sans"/>
                <w:i/>
                <w:i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i/>
                <w:sz w:val="22"/>
                <w:szCs w:val="22"/>
              </w:rPr>
              <w:t>5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ind w:hanging="0" w:start="0" w:end="0"/>
              <w:jc w:val="both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i/>
                <w:sz w:val="22"/>
                <w:szCs w:val="22"/>
              </w:rPr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Участник 1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rFonts w:cs="Liberation Sans" w:ascii="Liberation Sans" w:hAnsi="Liberation Sans"/>
                <w:sz w:val="22"/>
                <w:szCs w:val="22"/>
                <w:u w:val="single"/>
              </w:rPr>
              <w:t>Дата и время регистрации заявки</w:t>
            </w:r>
            <w:r>
              <w:rPr>
                <w:rFonts w:cs="Liberation Sans" w:ascii="Liberation Sans" w:hAnsi="Liberation Sans"/>
                <w:sz w:val="22"/>
                <w:szCs w:val="22"/>
              </w:rPr>
              <w:t>:</w:t>
            </w:r>
          </w:p>
          <w:p>
            <w:pPr>
              <w:pStyle w:val="Normal"/>
              <w:jc w:val="both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25.11.2025 08:28:32</w:t>
            </w:r>
          </w:p>
          <w:p>
            <w:pPr>
              <w:pStyle w:val="Normal"/>
              <w:jc w:val="both"/>
              <w:rPr/>
            </w:pPr>
            <w:r>
              <w:rPr>
                <w:rFonts w:cs="Liberation Sans" w:ascii="Liberation Sans" w:hAnsi="Liberation Sans"/>
                <w:sz w:val="22"/>
                <w:szCs w:val="22"/>
                <w:u w:val="single"/>
              </w:rPr>
              <w:t>Общая цена заявки на участие в закупке</w:t>
            </w:r>
            <w:r>
              <w:rPr>
                <w:rFonts w:cs="Liberation Sans" w:ascii="Liberation Sans" w:hAnsi="Liberation Sans"/>
                <w:sz w:val="22"/>
                <w:szCs w:val="22"/>
              </w:rPr>
              <w:t>:</w:t>
            </w:r>
          </w:p>
          <w:p>
            <w:pPr>
              <w:pStyle w:val="Normal"/>
              <w:jc w:val="both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10 644 000,00 руб. без НДС</w:t>
            </w:r>
          </w:p>
        </w:tc>
      </w:tr>
    </w:tbl>
    <w:p>
      <w:pPr>
        <w:pStyle w:val="Normal"/>
        <w:widowControl w:val="false"/>
        <w:rPr>
          <w:rFonts w:ascii="Liberation Sans" w:hAnsi="Liberation Sans" w:cs="Liberation Sans"/>
          <w:b/>
          <w:sz w:val="22"/>
          <w:szCs w:val="22"/>
        </w:rPr>
      </w:pPr>
      <w:bookmarkStart w:id="0" w:name="_Hlk193295722"/>
      <w:bookmarkEnd w:id="0"/>
      <w:r>
        <w:rPr>
          <w:rFonts w:cs="Liberation Sans" w:ascii="Liberation Sans" w:hAnsi="Liberation Sans"/>
          <w:b/>
          <w:sz w:val="22"/>
          <w:szCs w:val="22"/>
        </w:rPr>
        <w:t>Вопрос 1 повестки:</w:t>
      </w:r>
    </w:p>
    <w:p>
      <w:pPr>
        <w:pStyle w:val="Normal"/>
        <w:widowControl w:val="false"/>
        <w:ind w:firstLine="709" w:end="0"/>
        <w:jc w:val="both"/>
        <w:rPr/>
      </w:pPr>
      <w:r>
        <w:rPr>
          <w:rFonts w:cs="Liberation Sans" w:ascii="Liberation Sans" w:hAnsi="Liberation Sans"/>
          <w:sz w:val="22"/>
          <w:szCs w:val="22"/>
        </w:rPr>
        <w:t>Об одобрении</w:t>
      </w:r>
      <w:r>
        <w:rPr>
          <w:rFonts w:cs="Liberation Sans" w:ascii="Liberation Sans" w:hAnsi="Liberation Sans"/>
          <w:i/>
          <w:color w:val="548DD4"/>
          <w:sz w:val="22"/>
          <w:szCs w:val="22"/>
        </w:rPr>
        <w:t xml:space="preserve"> </w:t>
      </w:r>
      <w:r>
        <w:rPr>
          <w:rFonts w:cs="Liberation Sans" w:ascii="Liberation Sans" w:hAnsi="Liberation Sans"/>
          <w:sz w:val="22"/>
          <w:szCs w:val="22"/>
        </w:rPr>
        <w:t>Сводного отчета Экспертной группы по оценке заявок.</w:t>
      </w:r>
    </w:p>
    <w:p>
      <w:pPr>
        <w:pStyle w:val="Normal"/>
        <w:widowControl w:val="false"/>
        <w:ind w:firstLine="709" w:end="0"/>
        <w:jc w:val="both"/>
        <w:rPr>
          <w:rFonts w:ascii="Liberation Sans" w:hAnsi="Liberation Sans" w:cs="Liberation Sans"/>
          <w:sz w:val="22"/>
          <w:szCs w:val="22"/>
        </w:rPr>
      </w:pPr>
      <w:r>
        <w:rPr>
          <w:rFonts w:cs="Liberation Sans" w:ascii="Liberation Sans" w:hAnsi="Liberation Sans"/>
          <w:sz w:val="22"/>
          <w:szCs w:val="22"/>
        </w:rPr>
        <w:t>Члены Закупочной комиссии изучили поступившие заявки. Результаты оценки сведены в Сводный отчет Экспертной группы по оценке заявок (приложение №1).</w:t>
      </w:r>
    </w:p>
    <w:p>
      <w:pPr>
        <w:pStyle w:val="Normal"/>
        <w:widowControl w:val="false"/>
        <w:ind w:firstLine="709" w:end="0"/>
        <w:jc w:val="both"/>
        <w:rPr>
          <w:rFonts w:ascii="Liberation Sans" w:hAnsi="Liberation Sans" w:cs="Liberation Sans"/>
          <w:sz w:val="22"/>
          <w:szCs w:val="22"/>
        </w:rPr>
      </w:pPr>
      <w:r>
        <w:rPr>
          <w:rFonts w:cs="Liberation Sans" w:ascii="Liberation Sans" w:hAnsi="Liberation Sans"/>
          <w:sz w:val="22"/>
          <w:szCs w:val="22"/>
        </w:rPr>
        <w:t>Закупочной комиссии предлагается одобрить Сводный отчет Экспертной группы по оценке заявок.</w:t>
      </w:r>
    </w:p>
    <w:p>
      <w:pPr>
        <w:pStyle w:val="Normal"/>
        <w:widowControl w:val="false"/>
        <w:rPr>
          <w:rFonts w:ascii="Liberation Sans" w:hAnsi="Liberation Sans" w:cs="Liberation Sans"/>
          <w:b/>
          <w:sz w:val="22"/>
          <w:szCs w:val="22"/>
        </w:rPr>
      </w:pPr>
      <w:r>
        <w:rPr>
          <w:rFonts w:cs="Liberation Sans" w:ascii="Liberation Sans" w:hAnsi="Liberation Sans"/>
          <w:b/>
          <w:sz w:val="22"/>
          <w:szCs w:val="22"/>
        </w:rPr>
        <w:t>Вопрос 2 повестки:</w:t>
      </w:r>
    </w:p>
    <w:p>
      <w:pPr>
        <w:pStyle w:val="Normal"/>
        <w:widowControl w:val="false"/>
        <w:ind w:firstLine="709" w:end="0"/>
        <w:jc w:val="both"/>
        <w:rPr>
          <w:rFonts w:ascii="Liberation Sans" w:hAnsi="Liberation Sans" w:cs="Liberation Sans"/>
          <w:sz w:val="22"/>
          <w:szCs w:val="22"/>
        </w:rPr>
      </w:pPr>
      <w:bookmarkStart w:id="1" w:name="_Hlk90385669"/>
      <w:bookmarkEnd w:id="1"/>
      <w:r>
        <w:rPr>
          <w:rFonts w:cs="Liberation Sans" w:ascii="Liberation Sans" w:hAnsi="Liberation Sans"/>
          <w:sz w:val="22"/>
          <w:szCs w:val="22"/>
        </w:rPr>
        <w:t>Предлагается отклонить заявки участников в соответствии со Сводным отчетом Экспертной группы (приложение № 1).</w:t>
      </w:r>
    </w:p>
    <w:p>
      <w:pPr>
        <w:pStyle w:val="Normal"/>
        <w:widowControl w:val="false"/>
        <w:rPr>
          <w:rFonts w:ascii="Liberation Sans" w:hAnsi="Liberation Sans" w:cs="Liberation Sans"/>
          <w:b/>
          <w:sz w:val="22"/>
          <w:szCs w:val="22"/>
        </w:rPr>
      </w:pPr>
      <w:bookmarkStart w:id="2" w:name="_Hlk90385669"/>
      <w:bookmarkEnd w:id="2"/>
      <w:r>
        <w:rPr>
          <w:rFonts w:cs="Liberation Sans" w:ascii="Liberation Sans" w:hAnsi="Liberation Sans"/>
          <w:b/>
          <w:sz w:val="22"/>
          <w:szCs w:val="22"/>
        </w:rPr>
        <w:t>Вопрос 3 повестки:</w:t>
      </w:r>
    </w:p>
    <w:p>
      <w:pPr>
        <w:pStyle w:val="Normal"/>
        <w:widowControl w:val="false"/>
        <w:ind w:firstLine="708" w:end="0"/>
        <w:jc w:val="both"/>
        <w:rPr/>
      </w:pPr>
      <w:bookmarkStart w:id="3" w:name="_Hlk91153363"/>
      <w:bookmarkEnd w:id="3"/>
      <w:r>
        <w:rPr>
          <w:rFonts w:cs="Liberation Sans" w:ascii="Liberation Sans" w:hAnsi="Liberation Sans"/>
          <w:sz w:val="22"/>
          <w:szCs w:val="22"/>
        </w:rPr>
        <w:t>О признании закупки</w:t>
      </w:r>
      <w:r>
        <w:rPr>
          <w:rFonts w:cs="Liberation Sans" w:ascii="Liberation Sans" w:hAnsi="Liberation Sans"/>
          <w:i/>
          <w:color w:val="548DD4"/>
          <w:sz w:val="22"/>
          <w:szCs w:val="22"/>
        </w:rPr>
        <w:t xml:space="preserve"> </w:t>
      </w:r>
      <w:r>
        <w:rPr>
          <w:rFonts w:cs="Liberation Sans" w:ascii="Liberation Sans" w:hAnsi="Liberation Sans"/>
          <w:sz w:val="22"/>
          <w:szCs w:val="22"/>
        </w:rPr>
        <w:t>несостоявшейся</w:t>
      </w:r>
      <w:r>
        <w:rPr>
          <w:rFonts w:cs="Liberation Sans" w:ascii="Liberation Sans" w:hAnsi="Liberation Sans"/>
          <w:i/>
          <w:sz w:val="22"/>
          <w:szCs w:val="22"/>
        </w:rPr>
        <w:t>.</w:t>
      </w:r>
    </w:p>
    <w:p>
      <w:pPr>
        <w:pStyle w:val="Normal"/>
        <w:widowControl w:val="false"/>
        <w:ind w:firstLine="708" w:end="0"/>
        <w:jc w:val="both"/>
        <w:rPr>
          <w:rFonts w:ascii="Liberation Sans" w:hAnsi="Liberation Sans" w:cs="Liberation Sans"/>
          <w:sz w:val="22"/>
          <w:szCs w:val="22"/>
        </w:rPr>
      </w:pPr>
      <w:r>
        <w:rPr>
          <w:rFonts w:cs="Liberation Sans" w:ascii="Liberation Sans" w:hAnsi="Liberation Sans"/>
          <w:sz w:val="22"/>
          <w:szCs w:val="22"/>
        </w:rPr>
        <w:t>В связи с тем, что по результатам проведения закупки все заявки на участие в закупке отклонены, на основании п. 3.14.2.8 Закупочной документации, предлагается признать закупку несостоявшейся.</w:t>
      </w:r>
    </w:p>
    <w:p>
      <w:pPr>
        <w:pStyle w:val="Normal"/>
        <w:widowControl w:val="false"/>
        <w:ind w:firstLine="709" w:end="0"/>
        <w:rPr>
          <w:rFonts w:ascii="Liberation Sans" w:hAnsi="Liberation Sans" w:cs="Liberation Sans"/>
          <w:b/>
          <w:sz w:val="22"/>
          <w:szCs w:val="22"/>
        </w:rPr>
      </w:pPr>
      <w:bookmarkStart w:id="4" w:name="_Hlk91153363"/>
      <w:bookmarkEnd w:id="4"/>
      <w:r>
        <w:rPr>
          <w:rFonts w:cs="Liberation Sans" w:ascii="Liberation Sans" w:hAnsi="Liberation Sans"/>
          <w:b/>
          <w:sz w:val="22"/>
          <w:szCs w:val="22"/>
        </w:rPr>
        <w:t>РЕШИЛИ: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-2835" w:leader="none"/>
        </w:tabs>
        <w:ind w:hanging="0" w:start="0" w:end="0"/>
        <w:jc w:val="both"/>
        <w:rPr>
          <w:rFonts w:ascii="Liberation Sans" w:hAnsi="Liberation Sans" w:cs="Liberation Sans"/>
          <w:sz w:val="22"/>
          <w:szCs w:val="22"/>
        </w:rPr>
      </w:pPr>
      <w:r>
        <w:rPr>
          <w:rFonts w:cs="Liberation Sans" w:ascii="Liberation Sans" w:hAnsi="Liberation Sans"/>
          <w:sz w:val="22"/>
          <w:szCs w:val="22"/>
        </w:rPr>
        <w:t>Одобрить Сводный отчет Экспертной группы по оценке заявок.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-2835" w:leader="none"/>
        </w:tabs>
        <w:ind w:hanging="0" w:start="0" w:end="0"/>
        <w:jc w:val="both"/>
        <w:rPr>
          <w:rFonts w:ascii="Liberation Sans" w:hAnsi="Liberation Sans" w:cs="Liberation Sans"/>
          <w:sz w:val="22"/>
          <w:szCs w:val="22"/>
        </w:rPr>
      </w:pPr>
      <w:bookmarkStart w:id="5" w:name="_Hlk91150090"/>
      <w:bookmarkEnd w:id="5"/>
      <w:r>
        <w:rPr>
          <w:rFonts w:cs="Liberation Sans" w:ascii="Liberation Sans" w:hAnsi="Liberation Sans"/>
          <w:sz w:val="22"/>
          <w:szCs w:val="22"/>
        </w:rPr>
        <w:t>Отклонить заявки участников в соответствии со Сводным отчетом Экспертной группы (приложение № 1).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709" w:leader="none"/>
        </w:tabs>
        <w:ind w:hanging="0" w:start="0" w:end="0"/>
        <w:jc w:val="both"/>
        <w:rPr>
          <w:rFonts w:ascii="Liberation Sans" w:hAnsi="Liberation Sans" w:cs="Liberation Sans"/>
          <w:sz w:val="22"/>
          <w:szCs w:val="22"/>
        </w:rPr>
      </w:pPr>
      <w:bookmarkStart w:id="6" w:name="_Hlk91150090"/>
      <w:bookmarkEnd w:id="6"/>
      <w:r>
        <w:rPr>
          <w:rFonts w:cs="Liberation Sans" w:ascii="Liberation Sans" w:hAnsi="Liberation Sans"/>
          <w:sz w:val="22"/>
          <w:szCs w:val="22"/>
        </w:rPr>
        <w:t>Признать закупку</w:t>
      </w:r>
      <w:r>
        <w:rPr>
          <w:rFonts w:cs="Liberation Sans" w:ascii="Liberation Sans" w:hAnsi="Liberation Sans"/>
          <w:i/>
          <w:color w:val="548DD4"/>
          <w:sz w:val="22"/>
          <w:szCs w:val="22"/>
        </w:rPr>
        <w:t xml:space="preserve"> </w:t>
      </w:r>
      <w:r>
        <w:rPr>
          <w:rFonts w:cs="Liberation Sans" w:ascii="Liberation Sans" w:hAnsi="Liberation Sans"/>
          <w:sz w:val="22"/>
          <w:szCs w:val="22"/>
        </w:rPr>
        <w:t>несостоявшейся.</w:t>
      </w:r>
    </w:p>
    <w:p>
      <w:pPr>
        <w:pStyle w:val="Normal"/>
        <w:widowControl w:val="false"/>
        <w:tabs>
          <w:tab w:val="clear" w:pos="708"/>
          <w:tab w:val="left" w:pos="709" w:leader="none"/>
        </w:tabs>
        <w:jc w:val="both"/>
        <w:rPr>
          <w:rFonts w:ascii="Liberation Sans" w:hAnsi="Liberation Sans" w:cs="Liberation Sans"/>
          <w:sz w:val="22"/>
          <w:szCs w:val="22"/>
        </w:rPr>
      </w:pPr>
      <w:r>
        <w:rPr>
          <w:rFonts w:cs="Liberation Sans" w:ascii="Liberation Sans" w:hAnsi="Liberation Sans"/>
          <w:sz w:val="22"/>
          <w:szCs w:val="22"/>
        </w:rPr>
      </w:r>
      <w:bookmarkStart w:id="7" w:name="_Hlk193295722"/>
      <w:bookmarkStart w:id="8" w:name="_Hlk181266788"/>
      <w:bookmarkStart w:id="9" w:name="_Hlk193295722"/>
      <w:bookmarkStart w:id="10" w:name="_Hlk181266788"/>
      <w:bookmarkEnd w:id="9"/>
      <w:bookmarkEnd w:id="10"/>
    </w:p>
    <w:p>
      <w:pPr>
        <w:pStyle w:val="Normal"/>
        <w:ind w:firstLine="709" w:end="0"/>
        <w:jc w:val="both"/>
        <w:rPr/>
      </w:pPr>
      <w:bookmarkStart w:id="11" w:name="_Hlk181266788"/>
      <w:bookmarkEnd w:id="11"/>
      <w:r>
        <w:rPr/>
        <w:t>Председатель Закупочной комиссии:</w:t>
      </w:r>
    </w:p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17"/>
        <w:gridCol w:w="581"/>
        <w:gridCol w:w="1857"/>
        <w:gridCol w:w="2238"/>
        <w:gridCol w:w="2578"/>
      </w:tblGrid>
      <w:tr>
        <w:trPr>
          <w:trHeight w:val="364" w:hRule="atLeast"/>
        </w:trPr>
        <w:tc>
          <w:tcPr>
            <w:tcW w:w="2317" w:type="dxa"/>
            <w:tcBorders/>
          </w:tcPr>
          <w:p>
            <w:pPr>
              <w:pStyle w:val="Normal"/>
              <w:snapToGrid w:val="false"/>
              <w:rPr>
                <w:rFonts w:ascii="Liberation Sans" w:hAnsi="Liberation Sans" w:eastAsia="Calibri" w:cs="Liberation Sans"/>
                <w:sz w:val="22"/>
                <w:szCs w:val="22"/>
              </w:rPr>
            </w:pPr>
            <w:r>
              <w:rPr>
                <w:rFonts w:eastAsia="Calibri" w:cs="Liberation Sans" w:ascii="Liberation Sans" w:hAnsi="Liberation Sans"/>
                <w:sz w:val="22"/>
                <w:szCs w:val="22"/>
              </w:rPr>
            </w:r>
          </w:p>
        </w:tc>
        <w:tc>
          <w:tcPr>
            <w:tcW w:w="581" w:type="dxa"/>
            <w:tcBorders/>
          </w:tcPr>
          <w:p>
            <w:pPr>
              <w:pStyle w:val="Normal"/>
              <w:numPr>
                <w:ilvl w:val="0"/>
                <w:numId w:val="5"/>
              </w:numPr>
              <w:tabs>
                <w:tab w:val="clear" w:pos="708"/>
                <w:tab w:val="left" w:pos="432" w:leader="none"/>
              </w:tabs>
              <w:snapToGrid w:val="false"/>
              <w:ind w:hanging="360" w:start="432" w:end="0"/>
              <w:jc w:val="center"/>
              <w:rPr>
                <w:rFonts w:ascii="Liberation Sans" w:hAnsi="Liberation Sans" w:eastAsia="Calibri" w:cs="Liberation Sans"/>
                <w:sz w:val="22"/>
                <w:szCs w:val="22"/>
              </w:rPr>
            </w:pPr>
            <w:r>
              <w:rPr>
                <w:rFonts w:eastAsia="Calibri" w:cs="Liberation Sans" w:ascii="Liberation Sans" w:hAnsi="Liberation Sans"/>
                <w:sz w:val="22"/>
                <w:szCs w:val="22"/>
              </w:rPr>
            </w:r>
          </w:p>
        </w:tc>
        <w:tc>
          <w:tcPr>
            <w:tcW w:w="1857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Liberation Sans" w:hAnsi="Liberation Sans" w:eastAsia="Calibri" w:cs="Liberation Sans"/>
                <w:sz w:val="22"/>
                <w:szCs w:val="22"/>
              </w:rPr>
            </w:pPr>
            <w:r>
              <w:rPr>
                <w:rFonts w:eastAsia="Calibri" w:cs="Liberation Sans" w:ascii="Liberation Sans" w:hAnsi="Liberation Sans"/>
                <w:sz w:val="22"/>
                <w:szCs w:val="22"/>
              </w:rPr>
            </w:r>
          </w:p>
        </w:tc>
        <w:tc>
          <w:tcPr>
            <w:tcW w:w="223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ascii="Liberation Sans" w:hAnsi="Liberation Sans" w:eastAsia="Calibri" w:cs="Liberation Sans"/>
                <w:sz w:val="22"/>
                <w:szCs w:val="22"/>
              </w:rPr>
            </w:pPr>
            <w:r>
              <w:rPr>
                <w:rFonts w:eastAsia="Calibri" w:cs="Liberation Sans" w:ascii="Liberation Sans" w:hAnsi="Liberation Sans"/>
                <w:sz w:val="22"/>
                <w:szCs w:val="22"/>
              </w:rPr>
            </w:r>
          </w:p>
        </w:tc>
        <w:tc>
          <w:tcPr>
            <w:tcW w:w="257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Liberation Sans" w:hAnsi="Liberation Sans" w:eastAsia="Calibri" w:cs="Liberation Sans"/>
                <w:sz w:val="22"/>
                <w:szCs w:val="22"/>
              </w:rPr>
            </w:pPr>
            <w:r>
              <w:rPr>
                <w:rFonts w:eastAsia="Calibri" w:cs="Liberation Sans" w:ascii="Liberation Sans" w:hAnsi="Liberation Sans"/>
                <w:sz w:val="22"/>
                <w:szCs w:val="22"/>
              </w:rPr>
            </w:r>
          </w:p>
        </w:tc>
      </w:tr>
      <w:tr>
        <w:trPr>
          <w:trHeight w:val="150" w:hRule="atLeast"/>
        </w:trPr>
        <w:tc>
          <w:tcPr>
            <w:tcW w:w="2317" w:type="dxa"/>
            <w:tcBorders/>
          </w:tcPr>
          <w:p>
            <w:pPr>
              <w:pStyle w:val="Normal"/>
              <w:snapToGrid w:val="false"/>
              <w:rPr>
                <w:rFonts w:ascii="Liberation Sans" w:hAnsi="Liberation Sans" w:eastAsia="Calibri" w:cs="Liberation Sans"/>
                <w:sz w:val="22"/>
                <w:szCs w:val="22"/>
              </w:rPr>
            </w:pPr>
            <w:r>
              <w:rPr>
                <w:rFonts w:eastAsia="Calibri" w:cs="Liberation Sans" w:ascii="Liberation Sans" w:hAnsi="Liberation Sans"/>
                <w:sz w:val="22"/>
                <w:szCs w:val="22"/>
              </w:rPr>
            </w:r>
          </w:p>
        </w:tc>
        <w:tc>
          <w:tcPr>
            <w:tcW w:w="581" w:type="dxa"/>
            <w:tcBorders/>
          </w:tcPr>
          <w:p>
            <w:pPr>
              <w:pStyle w:val="Normal"/>
              <w:snapToGrid w:val="false"/>
              <w:rPr>
                <w:rFonts w:ascii="Liberation Sans" w:hAnsi="Liberation Sans" w:eastAsia="Calibri" w:cs="Liberation Sans"/>
              </w:rPr>
            </w:pPr>
            <w:r>
              <w:rPr>
                <w:rFonts w:eastAsia="Calibri" w:cs="Liberation Sans" w:ascii="Liberation Sans" w:hAnsi="Liberation Sans"/>
              </w:rPr>
            </w:r>
          </w:p>
        </w:tc>
        <w:tc>
          <w:tcPr>
            <w:tcW w:w="1857" w:type="dxa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rFonts w:ascii="Liberation Sans" w:hAnsi="Liberation Sans" w:eastAsia="Calibri" w:cs="Liberation Sans"/>
                <w:sz w:val="16"/>
                <w:szCs w:val="16"/>
              </w:rPr>
            </w:pPr>
            <w:r>
              <w:rPr>
                <w:rFonts w:eastAsia="Calibri" w:cs="Liberation Sans" w:ascii="Liberation Sans" w:hAnsi="Liberation Sans"/>
                <w:sz w:val="16"/>
                <w:szCs w:val="16"/>
              </w:rPr>
              <w:t>(Подпись)</w:t>
            </w:r>
          </w:p>
        </w:tc>
        <w:tc>
          <w:tcPr>
            <w:tcW w:w="2238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Liberation Sans" w:hAnsi="Liberation Sans" w:eastAsia="Calibri" w:cs="Liberation Sans"/>
                <w:sz w:val="16"/>
                <w:szCs w:val="16"/>
              </w:rPr>
            </w:pPr>
            <w:r>
              <w:rPr>
                <w:rFonts w:eastAsia="Calibri" w:cs="Liberation Sans" w:ascii="Liberation Sans" w:hAnsi="Liberation Sans"/>
                <w:sz w:val="16"/>
                <w:szCs w:val="16"/>
              </w:rPr>
            </w:r>
          </w:p>
        </w:tc>
        <w:tc>
          <w:tcPr>
            <w:tcW w:w="2578" w:type="dxa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rFonts w:ascii="Liberation Sans" w:hAnsi="Liberation Sans" w:eastAsia="Calibri" w:cs="Liberation Sans"/>
                <w:sz w:val="16"/>
                <w:szCs w:val="16"/>
              </w:rPr>
            </w:pPr>
            <w:r>
              <w:rPr>
                <w:rFonts w:eastAsia="Calibri" w:cs="Liberation Sans" w:ascii="Liberation Sans" w:hAnsi="Liberation Sans"/>
                <w:sz w:val="16"/>
                <w:szCs w:val="16"/>
              </w:rPr>
              <w:t>(Фамилия И.О.)</w:t>
            </w:r>
          </w:p>
        </w:tc>
      </w:tr>
    </w:tbl>
    <w:p>
      <w:pPr>
        <w:pStyle w:val="Normal"/>
        <w:ind w:firstLine="709" w:end="0"/>
        <w:jc w:val="both"/>
        <w:rPr/>
      </w:pPr>
      <w:r>
        <w:rPr/>
        <w:t>Секретарь Закупочной комиссии (без права голоса):</w:t>
      </w:r>
    </w:p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54"/>
        <w:gridCol w:w="570"/>
        <w:gridCol w:w="1828"/>
        <w:gridCol w:w="2380"/>
        <w:gridCol w:w="2539"/>
      </w:tblGrid>
      <w:tr>
        <w:trPr>
          <w:trHeight w:val="364" w:hRule="atLeast"/>
        </w:trPr>
        <w:tc>
          <w:tcPr>
            <w:tcW w:w="2254" w:type="dxa"/>
            <w:tcBorders/>
          </w:tcPr>
          <w:p>
            <w:pPr>
              <w:pStyle w:val="Normal"/>
              <w:snapToGrid w:val="false"/>
              <w:rPr>
                <w:rFonts w:ascii="Liberation Sans" w:hAnsi="Liberation Sans" w:eastAsia="Calibri" w:cs="Liberation Sans"/>
                <w:sz w:val="22"/>
                <w:szCs w:val="22"/>
              </w:rPr>
            </w:pPr>
            <w:r>
              <w:rPr>
                <w:rFonts w:eastAsia="Calibri" w:cs="Liberation Sans" w:ascii="Liberation Sans" w:hAnsi="Liberation Sans"/>
                <w:sz w:val="22"/>
                <w:szCs w:val="22"/>
              </w:rPr>
            </w:r>
          </w:p>
        </w:tc>
        <w:tc>
          <w:tcPr>
            <w:tcW w:w="570" w:type="dxa"/>
            <w:tcBorders/>
          </w:tcPr>
          <w:p>
            <w:pPr>
              <w:pStyle w:val="Normal"/>
              <w:numPr>
                <w:ilvl w:val="0"/>
                <w:numId w:val="5"/>
              </w:numPr>
              <w:tabs>
                <w:tab w:val="clear" w:pos="708"/>
                <w:tab w:val="left" w:pos="432" w:leader="none"/>
              </w:tabs>
              <w:snapToGrid w:val="false"/>
              <w:ind w:hanging="360" w:start="432" w:end="0"/>
              <w:jc w:val="center"/>
              <w:rPr>
                <w:rFonts w:ascii="Liberation Sans" w:hAnsi="Liberation Sans" w:eastAsia="Calibri" w:cs="Liberation Sans"/>
                <w:sz w:val="22"/>
                <w:szCs w:val="22"/>
              </w:rPr>
            </w:pPr>
            <w:r>
              <w:rPr>
                <w:rFonts w:eastAsia="Calibri" w:cs="Liberation Sans" w:ascii="Liberation Sans" w:hAnsi="Liberation Sans"/>
                <w:sz w:val="22"/>
                <w:szCs w:val="22"/>
              </w:rPr>
            </w:r>
          </w:p>
        </w:tc>
        <w:tc>
          <w:tcPr>
            <w:tcW w:w="182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Liberation Sans" w:hAnsi="Liberation Sans" w:eastAsia="Calibri" w:cs="Liberation Sans"/>
                <w:sz w:val="22"/>
                <w:szCs w:val="22"/>
              </w:rPr>
            </w:pPr>
            <w:r>
              <w:rPr>
                <w:rFonts w:eastAsia="Calibri" w:cs="Liberation Sans" w:ascii="Liberation Sans" w:hAnsi="Liberation Sans"/>
                <w:sz w:val="22"/>
                <w:szCs w:val="22"/>
              </w:rPr>
            </w:r>
          </w:p>
        </w:tc>
        <w:tc>
          <w:tcPr>
            <w:tcW w:w="238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ascii="Liberation Sans" w:hAnsi="Liberation Sans" w:eastAsia="Calibri" w:cs="Liberation Sans"/>
                <w:sz w:val="22"/>
                <w:szCs w:val="22"/>
              </w:rPr>
            </w:pPr>
            <w:r>
              <w:rPr>
                <w:rFonts w:eastAsia="Calibri" w:cs="Liberation Sans" w:ascii="Liberation Sans" w:hAnsi="Liberation Sans"/>
                <w:sz w:val="22"/>
                <w:szCs w:val="22"/>
              </w:rPr>
            </w:r>
          </w:p>
        </w:tc>
        <w:tc>
          <w:tcPr>
            <w:tcW w:w="2539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Liberation Sans" w:hAnsi="Liberation Sans" w:eastAsia="Calibri" w:cs="Liberation Sans"/>
                <w:sz w:val="22"/>
                <w:szCs w:val="22"/>
              </w:rPr>
            </w:pPr>
            <w:r>
              <w:rPr>
                <w:rFonts w:eastAsia="Calibri" w:cs="Liberation Sans" w:ascii="Liberation Sans" w:hAnsi="Liberation Sans"/>
                <w:sz w:val="22"/>
                <w:szCs w:val="22"/>
              </w:rPr>
              <w:t>Ларина Ю.С.</w:t>
            </w:r>
          </w:p>
        </w:tc>
      </w:tr>
      <w:tr>
        <w:trPr>
          <w:trHeight w:val="150" w:hRule="atLeast"/>
        </w:trPr>
        <w:tc>
          <w:tcPr>
            <w:tcW w:w="2254" w:type="dxa"/>
            <w:tcBorders/>
          </w:tcPr>
          <w:p>
            <w:pPr>
              <w:pStyle w:val="Normal"/>
              <w:snapToGrid w:val="false"/>
              <w:rPr>
                <w:rFonts w:ascii="Liberation Sans" w:hAnsi="Liberation Sans" w:eastAsia="Calibri" w:cs="Liberation Sans"/>
                <w:sz w:val="22"/>
                <w:szCs w:val="22"/>
              </w:rPr>
            </w:pPr>
            <w:r>
              <w:rPr>
                <w:rFonts w:eastAsia="Calibri" w:cs="Liberation Sans" w:ascii="Liberation Sans" w:hAnsi="Liberation Sans"/>
                <w:sz w:val="22"/>
                <w:szCs w:val="22"/>
              </w:rPr>
            </w:r>
          </w:p>
        </w:tc>
        <w:tc>
          <w:tcPr>
            <w:tcW w:w="570" w:type="dxa"/>
            <w:tcBorders/>
          </w:tcPr>
          <w:p>
            <w:pPr>
              <w:pStyle w:val="Normal"/>
              <w:snapToGrid w:val="false"/>
              <w:rPr>
                <w:rFonts w:ascii="Liberation Sans" w:hAnsi="Liberation Sans" w:eastAsia="Calibri" w:cs="Liberation Sans"/>
              </w:rPr>
            </w:pPr>
            <w:r>
              <w:rPr>
                <w:rFonts w:eastAsia="Calibri" w:cs="Liberation Sans" w:ascii="Liberation Sans" w:hAnsi="Liberation Sans"/>
              </w:rPr>
            </w:r>
          </w:p>
        </w:tc>
        <w:tc>
          <w:tcPr>
            <w:tcW w:w="1828" w:type="dxa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rFonts w:ascii="Liberation Sans" w:hAnsi="Liberation Sans" w:eastAsia="Calibri" w:cs="Liberation Sans"/>
                <w:sz w:val="16"/>
                <w:szCs w:val="16"/>
              </w:rPr>
            </w:pPr>
            <w:r>
              <w:rPr>
                <w:rFonts w:eastAsia="Calibri" w:cs="Liberation Sans" w:ascii="Liberation Sans" w:hAnsi="Liberation Sans"/>
                <w:sz w:val="16"/>
                <w:szCs w:val="16"/>
              </w:rPr>
              <w:t>(Подпись)</w:t>
            </w:r>
          </w:p>
        </w:tc>
        <w:tc>
          <w:tcPr>
            <w:tcW w:w="2380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Liberation Sans" w:hAnsi="Liberation Sans" w:eastAsia="Calibri" w:cs="Liberation Sans"/>
                <w:sz w:val="16"/>
                <w:szCs w:val="16"/>
              </w:rPr>
            </w:pPr>
            <w:r>
              <w:rPr>
                <w:rFonts w:eastAsia="Calibri" w:cs="Liberation Sans" w:ascii="Liberation Sans" w:hAnsi="Liberation Sans"/>
                <w:sz w:val="16"/>
                <w:szCs w:val="16"/>
              </w:rPr>
            </w:r>
          </w:p>
        </w:tc>
        <w:tc>
          <w:tcPr>
            <w:tcW w:w="253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Liberation Sans" w:hAnsi="Liberation Sans" w:eastAsia="Calibri" w:cs="Liberation Sans"/>
                <w:sz w:val="16"/>
                <w:szCs w:val="16"/>
              </w:rPr>
            </w:pPr>
            <w:r>
              <w:rPr>
                <w:rFonts w:eastAsia="Calibri" w:cs="Liberation Sans" w:ascii="Liberation Sans" w:hAnsi="Liberation Sans"/>
                <w:sz w:val="16"/>
                <w:szCs w:val="16"/>
              </w:rPr>
              <w:t>(Фамилия И.О.)</w:t>
            </w:r>
          </w:p>
        </w:tc>
      </w:tr>
    </w:tbl>
    <w:p>
      <w:pPr>
        <w:pStyle w:val="Normal"/>
        <w:widowControl w:val="false"/>
        <w:spacing w:before="120" w:after="120"/>
        <w:rPr>
          <w:rFonts w:ascii="Liberation Sans" w:hAnsi="Liberation Sans" w:cs="Liberation Sans"/>
          <w:b/>
        </w:rPr>
      </w:pPr>
      <w:r>
        <w:rPr>
          <w:rFonts w:cs="Liberation Sans" w:ascii="Liberation Sans" w:hAnsi="Liberation Sans"/>
          <w:b/>
        </w:rPr>
      </w:r>
    </w:p>
    <w:p>
      <w:pPr>
        <w:pStyle w:val="Normal"/>
        <w:widowControl w:val="false"/>
        <w:spacing w:before="120" w:after="120"/>
        <w:rPr>
          <w:rFonts w:ascii="Liberation Sans" w:hAnsi="Liberation Sans" w:cs="Liberation Sans"/>
          <w:b/>
        </w:rPr>
      </w:pPr>
      <w:r>
        <w:rPr>
          <w:rFonts w:cs="Liberation Sans" w:ascii="Liberation Sans" w:hAnsi="Liberation Sans"/>
          <w:b/>
        </w:rPr>
      </w:r>
    </w:p>
    <w:p>
      <w:pPr>
        <w:pStyle w:val="Normal"/>
        <w:widowControl w:val="false"/>
        <w:spacing w:before="120" w:after="120"/>
        <w:rPr>
          <w:rFonts w:ascii="Liberation Sans" w:hAnsi="Liberation Sans" w:cs="Liberation Sans"/>
          <w:b/>
        </w:rPr>
      </w:pPr>
      <w:r>
        <w:rPr>
          <w:rFonts w:cs="Liberation Sans" w:ascii="Liberation Sans" w:hAnsi="Liberation Sans"/>
          <w:b/>
        </w:rPr>
      </w:r>
    </w:p>
    <w:p>
      <w:pPr>
        <w:pStyle w:val="Normal"/>
        <w:widowControl w:val="false"/>
        <w:spacing w:before="120" w:after="120"/>
        <w:rPr>
          <w:rFonts w:ascii="Liberation Sans" w:hAnsi="Liberation Sans" w:cs="Liberation Sans"/>
          <w:b/>
        </w:rPr>
      </w:pPr>
      <w:r>
        <w:rPr>
          <w:rFonts w:cs="Liberation Sans" w:ascii="Liberation Sans" w:hAnsi="Liberation Sans"/>
          <w:b/>
        </w:rPr>
      </w:r>
    </w:p>
    <w:p>
      <w:pPr>
        <w:pStyle w:val="Normal"/>
        <w:widowControl w:val="false"/>
        <w:spacing w:before="120" w:after="120"/>
        <w:rPr>
          <w:b/>
        </w:rPr>
      </w:pPr>
      <w:r>
        <w:rPr>
          <w:b/>
        </w:rPr>
      </w:r>
    </w:p>
    <w:p>
      <w:pPr>
        <w:pStyle w:val="Normal"/>
        <w:widowControl w:val="false"/>
        <w:spacing w:before="120" w:after="120"/>
        <w:rPr>
          <w:b/>
        </w:rPr>
      </w:pPr>
      <w:r>
        <w:rPr>
          <w:b/>
        </w:rPr>
      </w:r>
    </w:p>
    <w:p>
      <w:pPr>
        <w:pStyle w:val="Normal"/>
        <w:widowControl w:val="false"/>
        <w:spacing w:before="120" w:after="120"/>
        <w:rPr>
          <w:b/>
        </w:rPr>
      </w:pPr>
      <w:r>
        <w:rPr>
          <w:b/>
        </w:rPr>
      </w:r>
    </w:p>
    <w:p>
      <w:pPr>
        <w:pStyle w:val="Normal"/>
        <w:widowControl w:val="false"/>
        <w:spacing w:before="120" w:after="120"/>
        <w:rPr>
          <w:b/>
        </w:rPr>
      </w:pPr>
      <w:r>
        <w:rPr>
          <w:b/>
        </w:rPr>
      </w:r>
    </w:p>
    <w:p>
      <w:pPr>
        <w:pStyle w:val="Normal"/>
        <w:widowControl w:val="false"/>
        <w:spacing w:before="120" w:after="120"/>
        <w:rPr>
          <w:b/>
        </w:rPr>
      </w:pPr>
      <w:r>
        <w:rPr>
          <w:b/>
        </w:rPr>
      </w:r>
    </w:p>
    <w:p>
      <w:pPr>
        <w:pStyle w:val="Normal"/>
        <w:widowControl w:val="false"/>
        <w:spacing w:before="120" w:after="120"/>
        <w:rPr>
          <w:b/>
        </w:rPr>
      </w:pPr>
      <w:r>
        <w:rPr>
          <w:b/>
        </w:rPr>
      </w:r>
    </w:p>
    <w:p>
      <w:pPr>
        <w:pStyle w:val="Normal"/>
        <w:widowControl w:val="false"/>
        <w:spacing w:before="120" w:after="120"/>
        <w:rPr>
          <w:b/>
        </w:rPr>
      </w:pPr>
      <w:r>
        <w:rPr>
          <w:b/>
        </w:rPr>
      </w:r>
    </w:p>
    <w:p>
      <w:pPr>
        <w:pStyle w:val="Normal"/>
        <w:widowControl w:val="false"/>
        <w:spacing w:before="120" w:after="120"/>
        <w:rPr>
          <w:b/>
        </w:rPr>
      </w:pPr>
      <w:r>
        <w:rPr>
          <w:b/>
        </w:rPr>
      </w:r>
    </w:p>
    <w:p>
      <w:pPr>
        <w:pStyle w:val="Normal"/>
        <w:widowControl w:val="false"/>
        <w:spacing w:before="120" w:after="120"/>
        <w:rPr>
          <w:b/>
        </w:rPr>
      </w:pPr>
      <w:r>
        <w:rPr>
          <w:b/>
        </w:rPr>
      </w:r>
    </w:p>
    <w:p>
      <w:pPr>
        <w:pStyle w:val="Normal"/>
        <w:widowControl w:val="false"/>
        <w:spacing w:before="120" w:after="120"/>
        <w:rPr>
          <w:b/>
        </w:rPr>
      </w:pPr>
      <w:r>
        <w:rPr>
          <w:b/>
        </w:rPr>
      </w:r>
    </w:p>
    <w:p>
      <w:pPr>
        <w:pStyle w:val="Normal"/>
        <w:widowControl w:val="false"/>
        <w:spacing w:before="120" w:after="120"/>
        <w:rPr>
          <w:b/>
        </w:rPr>
      </w:pPr>
      <w:r>
        <w:rPr>
          <w:b/>
        </w:rPr>
      </w:r>
      <w:r>
        <w:br w:type="page"/>
      </w:r>
    </w:p>
    <w:p>
      <w:pPr>
        <w:pStyle w:val="Normal"/>
        <w:widowControl w:val="false"/>
        <w:spacing w:before="120" w:after="120"/>
        <w:jc w:val="end"/>
        <w:rPr>
          <w:b/>
          <w:i/>
          <w:i/>
          <w:color w:val="4F81BD"/>
        </w:rPr>
      </w:pPr>
      <w:r>
        <w:rPr>
          <w:b/>
          <w:i/>
          <w:color w:val="4F81BD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276" w:right="850" w:gutter="0" w:header="709" w:top="765" w:footer="0" w:bottom="28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HeliosCond">
    <w:altName w:val="Franklin Gothic Medium Cond"/>
    <w:charset w:val="cc" w:characterSet="windows-125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1907" w:type="dxa"/>
      <w:jc w:val="start"/>
      <w:tblInd w:w="-1026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1907"/>
    </w:tblGrid>
    <w:tr>
      <w:trPr>
        <w:trHeight w:val="991" w:hRule="atLeast"/>
      </w:trPr>
      <w:tc>
        <w:tcPr>
          <w:tcW w:w="11907" w:type="dxa"/>
          <w:tcBorders/>
          <w:vAlign w:val="center"/>
        </w:tcPr>
        <w:p>
          <w:pPr>
            <w:pStyle w:val="Normal"/>
            <w:widowControl w:val="false"/>
            <w:tabs>
              <w:tab w:val="clear" w:pos="708"/>
              <w:tab w:val="left" w:pos="907" w:leader="none"/>
              <w:tab w:val="left" w:pos="8931" w:leader="none"/>
            </w:tabs>
            <w:autoSpaceDE w:val="false"/>
            <w:jc w:val="center"/>
            <w:rPr>
              <w:lang w:eastAsia="en-US"/>
            </w:rPr>
          </w:pPr>
          <w:r>
            <w:rPr>
              <w:lang w:val="en-US" w:eastAsia="en-US"/>
            </w:rPr>
            <w:drawing>
              <wp:inline distT="0" distB="0" distL="0" distR="0">
                <wp:extent cx="2162175" cy="69532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3" t="-9" r="-3" b="-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62175" cy="6953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>
      <w:trPr>
        <w:trHeight w:val="707" w:hRule="atLeast"/>
      </w:trPr>
      <w:tc>
        <w:tcPr>
          <w:tcW w:w="11907" w:type="dxa"/>
          <w:tcBorders/>
          <w:vAlign w:val="center"/>
        </w:tcPr>
        <w:p>
          <w:pPr>
            <w:pStyle w:val="Normal"/>
            <w:tabs>
              <w:tab w:val="clear" w:pos="708"/>
              <w:tab w:val="left" w:pos="8931" w:leader="none"/>
            </w:tabs>
            <w:ind w:start="1168" w:end="1167"/>
            <w:jc w:val="center"/>
            <w:rPr>
              <w:rFonts w:ascii="HeliosCond;Franklin Gothic Medium Cond" w:hAnsi="HeliosCond;Franklin Gothic Medium Cond" w:cs="Helios;Gabriola"/>
              <w:color w:val="1F497D"/>
              <w:sz w:val="18"/>
              <w:szCs w:val="18"/>
              <w:lang w:eastAsia="en-US"/>
            </w:rPr>
          </w:pPr>
          <w:r>
            <w:rPr>
              <w:rFonts w:cs="Helios;Gabriola" w:ascii="HeliosCond;Franklin Gothic Medium Cond" w:hAnsi="HeliosCond;Franklin Gothic Medium Cond"/>
              <w:color w:val="1F497D"/>
              <w:sz w:val="18"/>
              <w:szCs w:val="18"/>
              <w:lang w:eastAsia="en-US"/>
            </w:rPr>
            <w:t>Большая Пироговская ул., д. 27, стр. 3, г. Москва, Россия, 119435</w:t>
          </w:r>
        </w:p>
        <w:p>
          <w:pPr>
            <w:pStyle w:val="Normal"/>
            <w:tabs>
              <w:tab w:val="clear" w:pos="708"/>
              <w:tab w:val="left" w:pos="8931" w:leader="none"/>
            </w:tabs>
            <w:jc w:val="center"/>
            <w:rPr>
              <w:rFonts w:ascii="HeliosCond;Franklin Gothic Medium Cond" w:hAnsi="HeliosCond;Franklin Gothic Medium Cond" w:cs="Helios;Gabriola"/>
              <w:color w:val="1F497D"/>
              <w:sz w:val="18"/>
              <w:szCs w:val="18"/>
              <w:lang w:eastAsia="en-US"/>
            </w:rPr>
          </w:pPr>
          <w:r>
            <w:rPr>
              <w:rFonts w:cs="Helios;Gabriola" w:ascii="HeliosCond;Franklin Gothic Medium Cond" w:hAnsi="HeliosCond;Franklin Gothic Medium Cond"/>
              <w:color w:val="1F497D"/>
              <w:sz w:val="18"/>
              <w:szCs w:val="18"/>
              <w:lang w:eastAsia="en-US"/>
            </w:rPr>
            <w:t>Телефон: +7 (495) 664 8840, Факс: +7 (495) 664 8841</w:t>
          </w:r>
        </w:p>
        <w:p>
          <w:pPr>
            <w:pStyle w:val="Normal"/>
            <w:widowControl w:val="false"/>
            <w:tabs>
              <w:tab w:val="clear" w:pos="708"/>
              <w:tab w:val="left" w:pos="8931" w:leader="none"/>
            </w:tabs>
            <w:autoSpaceDE w:val="false"/>
            <w:ind w:start="1168" w:end="1167"/>
            <w:jc w:val="center"/>
            <w:rPr>
              <w:sz w:val="18"/>
              <w:szCs w:val="18"/>
              <w:lang w:eastAsia="en-US"/>
            </w:rPr>
          </w:pPr>
          <w:r>
            <w:rPr>
              <w:rFonts w:cs="Helios;Gabriola" w:ascii="HeliosCond;Franklin Gothic Medium Cond" w:hAnsi="HeliosCond;Franklin Gothic Medium Cond"/>
              <w:color w:val="1F497D"/>
              <w:sz w:val="18"/>
              <w:szCs w:val="18"/>
              <w:lang w:eastAsia="en-US"/>
            </w:rPr>
            <w:t>www.interrao-zakupki.ru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1134"/>
        </w:tabs>
        <w:ind w:start="0" w:firstLine="567"/>
      </w:pPr>
      <w:rPr/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abstractNum w:abstractNumId="5">
    <w:lvl w:ilvl="0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16"/>
        <w:i w:val="false"/>
        <w:b w:val="false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tabs>
        <w:tab w:val="clear" w:pos="708"/>
        <w:tab w:val="left" w:pos="1134" w:leader="none"/>
      </w:tabs>
      <w:suppressAutoHyphens w:val="true"/>
      <w:spacing w:before="360" w:after="120"/>
      <w:ind w:hanging="1134" w:start="1134" w:end="0"/>
      <w:outlineLvl w:val="1"/>
    </w:pPr>
    <w:rPr>
      <w:b/>
      <w:sz w:val="32"/>
      <w:szCs w:val="20"/>
      <w:lang w:val="en-U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sz w:val="20"/>
      <w:szCs w:val="20"/>
    </w:rPr>
  </w:style>
  <w:style w:type="character" w:styleId="WW8Num5z0">
    <w:name w:val="WW8Num5z0"/>
    <w:qFormat/>
    <w:rPr>
      <w:i w:val="false"/>
    </w:rPr>
  </w:style>
  <w:style w:type="character" w:styleId="WW8Num6z0">
    <w:name w:val="WW8Num6z0"/>
    <w:qFormat/>
    <w:rPr>
      <w:i w:val="false"/>
      <w:color w:val="000000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Symbol" w:hAnsi="Symbol" w:cs="Symbol"/>
      <w:color w:val="000000"/>
    </w:rPr>
  </w:style>
  <w:style w:type="character" w:styleId="WW8Num10z0">
    <w:name w:val="WW8Num10z0"/>
    <w:qFormat/>
    <w:rPr/>
  </w:style>
  <w:style w:type="character" w:styleId="WW8Num11z0">
    <w:name w:val="WW8Num11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4z0">
    <w:name w:val="WW8Num14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5z0">
    <w:name w:val="WW8Num15z0"/>
    <w:qFormat/>
    <w:rPr/>
  </w:style>
  <w:style w:type="character" w:styleId="WW8Num16z0">
    <w:name w:val="WW8Num16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7z0">
    <w:name w:val="WW8Num17z0"/>
    <w:qFormat/>
    <w:rPr>
      <w:sz w:val="24"/>
      <w:szCs w:val="24"/>
    </w:rPr>
  </w:style>
  <w:style w:type="character" w:styleId="WW8Num17z1">
    <w:name w:val="WW8Num17z1"/>
    <w:qFormat/>
    <w:rPr>
      <w:rFonts w:ascii="Symbol" w:hAnsi="Symbol" w:cs="Symbol"/>
      <w:b w:val="false"/>
      <w:i w:val="false"/>
      <w:color w:val="000000"/>
      <w:sz w:val="24"/>
    </w:rPr>
  </w:style>
  <w:style w:type="character" w:styleId="WW8Num18z0">
    <w:name w:val="WW8Num18z0"/>
    <w:qFormat/>
    <w:rPr/>
  </w:style>
  <w:style w:type="character" w:styleId="WW8Num18z1">
    <w:name w:val="WW8Num18z1"/>
    <w:qFormat/>
    <w:rPr>
      <w:b/>
      <w:sz w:val="26"/>
      <w:szCs w:val="26"/>
    </w:rPr>
  </w:style>
  <w:style w:type="character" w:styleId="WW8Num18z2">
    <w:name w:val="WW8Num18z2"/>
    <w:qFormat/>
    <w:rPr>
      <w:b w:val="false"/>
      <w:i w:val="false"/>
    </w:rPr>
  </w:style>
  <w:style w:type="character" w:styleId="WW8Num19z0">
    <w:name w:val="WW8Num19z0"/>
    <w:qFormat/>
    <w:rPr>
      <w:rFonts w:ascii="Symbol" w:hAnsi="Symbol" w:cs="Symbol"/>
      <w:b w:val="false"/>
      <w:i w:val="false"/>
      <w:color w:val="000000"/>
      <w:sz w:val="24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21z0">
    <w:name w:val="WW8Num21z0"/>
    <w:qFormat/>
    <w:rPr>
      <w:sz w:val="20"/>
      <w:szCs w:val="20"/>
    </w:rPr>
  </w:style>
  <w:style w:type="character" w:styleId="WW8Num22z0">
    <w:name w:val="WW8Num22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24z0">
    <w:name w:val="WW8Num24z0"/>
    <w:qFormat/>
    <w:rPr>
      <w:sz w:val="24"/>
      <w:szCs w:val="24"/>
    </w:rPr>
  </w:style>
  <w:style w:type="character" w:styleId="WW8Num24z1">
    <w:name w:val="WW8Num24z1"/>
    <w:qFormat/>
    <w:rPr>
      <w:rFonts w:ascii="Symbol" w:hAnsi="Symbol" w:cs="Symbol"/>
      <w:b w:val="false"/>
      <w:i w:val="false"/>
      <w:sz w:val="24"/>
    </w:rPr>
  </w:style>
  <w:style w:type="character" w:styleId="WW8Num25z0">
    <w:name w:val="WW8Num25z0"/>
    <w:qFormat/>
    <w:rPr>
      <w:sz w:val="20"/>
      <w:szCs w:val="20"/>
    </w:rPr>
  </w:style>
  <w:style w:type="character" w:styleId="WW8Num27z0">
    <w:name w:val="WW8Num27z0"/>
    <w:qFormat/>
    <w:rPr/>
  </w:style>
  <w:style w:type="character" w:styleId="WW8Num27z1">
    <w:name w:val="WW8Num27z1"/>
    <w:qFormat/>
    <w:rPr>
      <w:color w:val="000000"/>
    </w:rPr>
  </w:style>
  <w:style w:type="character" w:styleId="WW8Num28z0">
    <w:name w:val="WW8Num28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29z0">
    <w:name w:val="WW8Num29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30z1">
    <w:name w:val="WW8Num30z1"/>
    <w:qFormat/>
    <w:rPr>
      <w:rFonts w:ascii="Symbol" w:hAnsi="Symbol" w:cs="Symbol"/>
      <w:b w:val="false"/>
      <w:i w:val="false"/>
      <w:color w:val="000000"/>
      <w:sz w:val="16"/>
    </w:rPr>
  </w:style>
  <w:style w:type="character" w:styleId="WW8Num31z0">
    <w:name w:val="WW8Num31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8"/>
      <w:sz w:val="28"/>
      <w:szCs w:val="28"/>
      <w:vertAlign w:val="baseline"/>
    </w:rPr>
  </w:style>
  <w:style w:type="character" w:styleId="WW8Num31z1">
    <w:name w:val="WW8Num31z1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8"/>
      <w:vertAlign w:val="baseline"/>
    </w:rPr>
  </w:style>
  <w:style w:type="character" w:styleId="WW8Num32z0">
    <w:name w:val="WW8Num32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33z0">
    <w:name w:val="WW8Num33z0"/>
    <w:qFormat/>
    <w:rPr>
      <w:rFonts w:ascii="Symbol" w:hAnsi="Symbol" w:cs="Symbol"/>
      <w:b w:val="false"/>
      <w:i w:val="false"/>
      <w:color w:val="000000"/>
      <w:sz w:val="16"/>
    </w:rPr>
  </w:style>
  <w:style w:type="character" w:styleId="WW8Num33z1">
    <w:name w:val="WW8Num33z1"/>
    <w:qFormat/>
    <w:rPr>
      <w:rFonts w:ascii="Courier New" w:hAnsi="Courier New" w:cs="Courier New"/>
    </w:rPr>
  </w:style>
  <w:style w:type="character" w:styleId="WW8Num33z2">
    <w:name w:val="WW8Num33z2"/>
    <w:qFormat/>
    <w:rPr>
      <w:rFonts w:ascii="Wingdings" w:hAnsi="Wingdings" w:cs="Wingdings"/>
    </w:rPr>
  </w:style>
  <w:style w:type="character" w:styleId="WW8Num33z3">
    <w:name w:val="WW8Num33z3"/>
    <w:qFormat/>
    <w:rPr>
      <w:rFonts w:ascii="Symbol" w:hAnsi="Symbol" w:cs="Symbol"/>
    </w:rPr>
  </w:style>
  <w:style w:type="character" w:styleId="Style12">
    <w:name w:val="Основной шрифт абзаца"/>
    <w:qFormat/>
    <w:rPr/>
  </w:style>
  <w:style w:type="character" w:styleId="PageNumber">
    <w:name w:val="page number"/>
    <w:basedOn w:val="Style12"/>
    <w:rPr/>
  </w:style>
  <w:style w:type="character" w:styleId="Style13">
    <w:name w:val="комментарий"/>
    <w:qFormat/>
    <w:rPr>
      <w:b/>
      <w:i/>
      <w:shd w:fill="FFFF99" w:val="clear"/>
    </w:rPr>
  </w:style>
  <w:style w:type="character" w:styleId="Style14">
    <w:name w:val="Комментраий Знак"/>
    <w:qFormat/>
    <w:rPr>
      <w:i/>
      <w:color w:val="3366FF"/>
      <w:sz w:val="28"/>
      <w:szCs w:val="28"/>
      <w:lang w:val="ru-RU" w:bidi="ar-SA"/>
    </w:rPr>
  </w:style>
  <w:style w:type="character" w:styleId="Style15">
    <w:name w:val="Нижний колонтитул Знак"/>
    <w:qFormat/>
    <w:rPr>
      <w:sz w:val="24"/>
      <w:szCs w:val="24"/>
    </w:rPr>
  </w:style>
  <w:style w:type="character" w:styleId="Style16">
    <w:name w:val="Подподпункт Знак"/>
    <w:qFormat/>
    <w:rPr>
      <w:sz w:val="28"/>
    </w:rPr>
  </w:style>
  <w:style w:type="character" w:styleId="FontStyle128">
    <w:name w:val="Font Style128"/>
    <w:qFormat/>
    <w:rPr>
      <w:rFonts w:ascii="Times New Roman" w:hAnsi="Times New Roman" w:cs="Times New Roman"/>
      <w:color w:val="000000"/>
      <w:sz w:val="26"/>
      <w:szCs w:val="26"/>
    </w:rPr>
  </w:style>
  <w:style w:type="character" w:styleId="2">
    <w:name w:val="Заголовок 2 Знак"/>
    <w:qFormat/>
    <w:rPr>
      <w:b/>
      <w:sz w:val="32"/>
    </w:rPr>
  </w:style>
  <w:style w:type="character" w:styleId="Style17">
    <w:name w:val="Основной текст с отступом Знак"/>
    <w:qFormat/>
    <w:rPr>
      <w:sz w:val="24"/>
      <w:szCs w:val="24"/>
    </w:rPr>
  </w:style>
  <w:style w:type="character" w:styleId="Style18">
    <w:name w:val="Основной текст Знак"/>
    <w:qFormat/>
    <w:rPr>
      <w:sz w:val="24"/>
      <w:szCs w:val="24"/>
    </w:rPr>
  </w:style>
  <w:style w:type="character" w:styleId="Style19">
    <w:name w:val="Знак примечания"/>
    <w:qFormat/>
    <w:rPr>
      <w:sz w:val="16"/>
      <w:szCs w:val="16"/>
    </w:rPr>
  </w:style>
  <w:style w:type="character" w:styleId="Style20">
    <w:name w:val="Текст примечания Знак"/>
    <w:basedOn w:val="Style12"/>
    <w:qFormat/>
    <w:rPr/>
  </w:style>
  <w:style w:type="character" w:styleId="Style21">
    <w:name w:val="Тема примечания Знак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lang w:val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2">
    <w:name w:val="Таблица шапка"/>
    <w:basedOn w:val="Normal"/>
    <w:qFormat/>
    <w:pPr>
      <w:keepNext w:val="true"/>
      <w:spacing w:before="40" w:after="40"/>
      <w:ind w:hanging="0" w:start="57" w:end="57"/>
    </w:pPr>
    <w:rPr>
      <w:sz w:val="22"/>
      <w:szCs w:val="20"/>
    </w:rPr>
  </w:style>
  <w:style w:type="paragraph" w:styleId="Style23">
    <w:name w:val="Таблица текст"/>
    <w:basedOn w:val="Normal"/>
    <w:qFormat/>
    <w:pPr>
      <w:spacing w:before="40" w:after="40"/>
      <w:ind w:hanging="0" w:start="57" w:end="57"/>
    </w:pPr>
    <w:rPr>
      <w:szCs w:val="20"/>
    </w:rPr>
  </w:style>
  <w:style w:type="paragraph" w:styleId="Style24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  <w:szCs w:val="20"/>
    </w:rPr>
  </w:style>
  <w:style w:type="paragraph" w:styleId="Style25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Style26">
    <w:name w:val="Обычный (веб)"/>
    <w:basedOn w:val="Normal"/>
    <w:qFormat/>
    <w:pPr>
      <w:spacing w:before="280" w:after="280"/>
    </w:pPr>
    <w:rPr>
      <w:rFonts w:ascii="Arial" w:hAnsi="Arial" w:cs="Arial"/>
      <w:color w:val="283555"/>
      <w:sz w:val="20"/>
      <w:szCs w:val="20"/>
    </w:rPr>
  </w:style>
  <w:style w:type="paragraph" w:styleId="Style27">
    <w:name w:val="Подподпункт"/>
    <w:basedOn w:val="Normal"/>
    <w:qFormat/>
    <w:pPr>
      <w:numPr>
        <w:ilvl w:val="0"/>
        <w:numId w:val="4"/>
      </w:numPr>
      <w:tabs>
        <w:tab w:val="clear" w:pos="708"/>
        <w:tab w:val="left" w:pos="927" w:leader="none"/>
      </w:tabs>
      <w:spacing w:lineRule="auto" w:line="360"/>
      <w:ind w:hanging="360" w:start="927" w:end="0"/>
      <w:jc w:val="both"/>
    </w:pPr>
    <w:rPr>
      <w:sz w:val="28"/>
      <w:szCs w:val="20"/>
      <w:lang w:val="en-US"/>
    </w:rPr>
  </w:style>
  <w:style w:type="paragraph" w:styleId="Style28">
    <w:name w:val="Абзац списка"/>
    <w:basedOn w:val="Normal"/>
    <w:qFormat/>
    <w:pPr>
      <w:widowControl w:val="false"/>
      <w:autoSpaceDE w:val="false"/>
      <w:spacing w:before="0" w:after="0"/>
      <w:ind w:hanging="0" w:start="720" w:end="0"/>
      <w:contextualSpacing/>
    </w:pPr>
    <w:rPr/>
  </w:style>
  <w:style w:type="paragraph" w:styleId="Style29">
    <w:name w:val="Пункт"/>
    <w:basedOn w:val="Normal"/>
    <w:qFormat/>
    <w:pPr>
      <w:tabs>
        <w:tab w:val="clear" w:pos="708"/>
        <w:tab w:val="left" w:pos="1134" w:leader="none"/>
      </w:tabs>
      <w:spacing w:lineRule="auto" w:line="360"/>
      <w:ind w:hanging="1134" w:start="1134" w:end="0"/>
      <w:jc w:val="both"/>
    </w:pPr>
    <w:rPr>
      <w:sz w:val="28"/>
      <w:szCs w:val="20"/>
    </w:rPr>
  </w:style>
  <w:style w:type="paragraph" w:styleId="BodyTextIndent">
    <w:name w:val="Body Text Indent"/>
    <w:basedOn w:val="Normal"/>
    <w:pPr>
      <w:ind w:hanging="0" w:start="-720" w:end="0"/>
      <w:jc w:val="both"/>
    </w:pPr>
    <w:rPr>
      <w:lang w:val="en-US"/>
    </w:rPr>
  </w:style>
  <w:style w:type="paragraph" w:styleId="Style30">
    <w:name w:val="Нумерованный список"/>
    <w:basedOn w:val="BodyText"/>
    <w:qFormat/>
    <w:pPr>
      <w:tabs>
        <w:tab w:val="clear" w:pos="708"/>
        <w:tab w:val="left" w:pos="360" w:leader="none"/>
      </w:tabs>
      <w:autoSpaceDE w:val="false"/>
      <w:spacing w:lineRule="auto" w:line="360" w:before="60" w:after="0"/>
      <w:jc w:val="both"/>
    </w:pPr>
    <w:rPr>
      <w:sz w:val="28"/>
    </w:rPr>
  </w:style>
  <w:style w:type="paragraph" w:styleId="Style31">
    <w:name w:val="Текст примечания"/>
    <w:basedOn w:val="Normal"/>
    <w:qFormat/>
    <w:pPr/>
    <w:rPr>
      <w:sz w:val="20"/>
      <w:szCs w:val="20"/>
    </w:rPr>
  </w:style>
  <w:style w:type="paragraph" w:styleId="Style32">
    <w:name w:val="Тема примечания"/>
    <w:basedOn w:val="Style31"/>
    <w:next w:val="Style31"/>
    <w:qFormat/>
    <w:pPr/>
    <w:rPr>
      <w:b/>
      <w:bCs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2025-12-11T09:27:00Z</dcterms:created>
  <dc:creator/>
  <dc:description/>
  <cp:keywords/>
  <dc:language>en-US</dc:language>
  <cp:lastModifiedBy/>
  <dcterms:modified xsi:type="dcterms:W3CDTF">2025-12-12T08:18:00Z</dcterms:modified>
  <cp:revision>1</cp:revision>
  <dc:subject/>
  <dc:title>Протокол вскрытия конвертов</dc:title>
</cp:coreProperties>
</file>