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tabs>
          <w:tab w:val="clear" w:pos="709"/>
          <w:tab w:val="left" w:pos="426" w:leader="none"/>
        </w:tabs>
        <w:jc w:val="center"/>
        <w:rPr>
          <w:b/>
          <w:bCs/>
          <w:i/>
          <w:i/>
        </w:rPr>
      </w:pPr>
      <w:r>
        <w:rPr>
          <w:b/>
          <w:bCs/>
          <w:i/>
        </w:rPr>
      </w:r>
    </w:p>
    <w:p>
      <w:pPr>
        <w:pStyle w:val="Normal"/>
        <w:tabs>
          <w:tab w:val="clear" w:pos="709"/>
          <w:tab w:val="left" w:pos="426" w:leader="none"/>
        </w:tabs>
        <w:jc w:val="center"/>
        <w:rPr>
          <w:b/>
          <w:bCs/>
          <w:i/>
          <w:i/>
        </w:rPr>
      </w:pPr>
      <w:r>
        <w:rPr>
          <w:b/>
          <w:bCs/>
          <w:i/>
        </w:rPr>
        <w:t xml:space="preserve">ПРОТОКОЛ ЗАСЕДАНИЯ </w:t>
      </w:r>
    </w:p>
    <w:p>
      <w:pPr>
        <w:pStyle w:val="Normal"/>
        <w:tabs>
          <w:tab w:val="clear" w:pos="709"/>
          <w:tab w:val="left" w:pos="426" w:leader="none"/>
        </w:tabs>
        <w:jc w:val="center"/>
        <w:rPr>
          <w:b/>
          <w:bCs/>
          <w:i/>
          <w:i/>
        </w:rPr>
      </w:pPr>
      <w:r>
        <w:rPr>
          <w:b/>
          <w:bCs/>
          <w:i/>
        </w:rPr>
        <w:t xml:space="preserve">ПОСТОЯННО ДЕЙСТВУЮЩЕЙ ЗАКУПОЧНОЙ КОМИССИИ № </w:t>
      </w:r>
      <w:r>
        <w:rPr>
          <w:b/>
          <w:i/>
        </w:rPr>
        <w:t>32515422946/</w:t>
      </w:r>
      <w:r>
        <w:rPr>
          <w:b/>
          <w:bCs/>
          <w:i/>
        </w:rPr>
        <w:t>1</w:t>
      </w:r>
    </w:p>
    <w:p>
      <w:pPr>
        <w:pStyle w:val="Normal"/>
        <w:tabs>
          <w:tab w:val="clear" w:pos="709"/>
          <w:tab w:val="left" w:pos="426" w:leader="none"/>
        </w:tabs>
        <w:rPr/>
      </w:pPr>
      <w:r>
        <w:rPr/>
        <w:t>Дата заседания комиссии: 15 декабря 2025 года.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Дата подписания протокола: 15 декабря 2025 года.</w:t>
      </w:r>
    </w:p>
    <w:p>
      <w:pPr>
        <w:pStyle w:val="Normal"/>
        <w:tabs>
          <w:tab w:val="clear" w:pos="709"/>
          <w:tab w:val="left" w:pos="426" w:leader="none"/>
        </w:tabs>
        <w:rPr/>
      </w:pPr>
      <w:r>
        <w:rPr/>
        <w:t>Форма проведения заседания комиссии: очно-заочная.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Общее число членов постоянно действующей закупочной комиссии филиала ПАО «Россети Юг» - «Кубаньэнерго» составляет - 9.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8"/>
      </w:tblGrid>
      <w:tr>
        <w:trPr>
          <w:trHeight w:val="1048" w:hRule="atLeast"/>
        </w:trPr>
        <w:tc>
          <w:tcPr>
            <w:tcW w:w="103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Голосовали:</w:t>
            </w:r>
          </w:p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/>
                <w:bCs/>
              </w:rPr>
            </w:pPr>
            <w:r>
              <w:rPr>
                <w:b/>
                <w:color w:val="000000"/>
              </w:rPr>
              <w:t xml:space="preserve">Председатель ПДЗК: </w:t>
            </w:r>
            <w:r>
              <w:rPr>
                <w:bCs/>
              </w:rPr>
              <w:t>В.А. Коржаневский,</w:t>
            </w:r>
          </w:p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Cs/>
              </w:rPr>
            </w:pPr>
            <w:r>
              <w:rPr>
                <w:b/>
                <w:bCs/>
              </w:rPr>
              <w:t xml:space="preserve">Заместители председателя ПДЗК: </w:t>
            </w:r>
            <w:r>
              <w:rPr>
                <w:bCs/>
              </w:rPr>
              <w:t xml:space="preserve">О.Ф. Нищук, </w:t>
            </w:r>
          </w:p>
          <w:p>
            <w:pPr>
              <w:pStyle w:val="Normal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Члены ПДЗК: </w:t>
            </w:r>
            <w:r>
              <w:rPr>
                <w:color w:val="000000"/>
              </w:rPr>
              <w:t>Д.А. Коновалов,</w:t>
            </w:r>
            <w:r>
              <w:rPr/>
              <w:t xml:space="preserve"> </w:t>
            </w:r>
            <w:r>
              <w:rPr>
                <w:bCs/>
              </w:rPr>
              <w:t>С.С. Шевченко, А.А. Часов,</w:t>
            </w:r>
            <w:r>
              <w:rPr/>
              <w:t xml:space="preserve"> О.В. Бабак,</w:t>
            </w:r>
          </w:p>
          <w:p>
            <w:pPr>
              <w:pStyle w:val="Normal"/>
              <w:jc w:val="both"/>
              <w:rPr>
                <w:b/>
                <w:bCs/>
                <w:color w:val="000000"/>
              </w:rPr>
            </w:pPr>
            <w:r>
              <w:rPr>
                <w:b/>
              </w:rPr>
              <w:t>Не приняли участие в голосовании:</w:t>
            </w:r>
            <w:r>
              <w:rPr>
                <w:b/>
                <w:bCs/>
              </w:rPr>
              <w:t xml:space="preserve"> </w:t>
            </w:r>
            <w:r>
              <w:rPr/>
              <w:t>В.А. Михайлов,</w:t>
            </w:r>
            <w:r>
              <w:rPr>
                <w:bCs/>
              </w:rPr>
              <w:t xml:space="preserve"> С.С. Заворин, </w:t>
            </w:r>
            <w:r>
              <w:rPr/>
              <w:t>О.В. Крылов.</w:t>
            </w:r>
          </w:p>
        </w:tc>
      </w:tr>
    </w:tbl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Кворум имеется. Комиссия правомочна.</w:t>
      </w:r>
    </w:p>
    <w:p>
      <w:pPr>
        <w:pStyle w:val="Normal"/>
        <w:tabs>
          <w:tab w:val="left" w:pos="709" w:leader="none"/>
        </w:tabs>
        <w:jc w:val="both"/>
        <w:rPr/>
      </w:pPr>
      <w:r>
        <w:rPr/>
      </w:r>
    </w:p>
    <w:p>
      <w:pPr>
        <w:pStyle w:val="Normal"/>
        <w:tabs>
          <w:tab w:val="left" w:pos="709" w:leader="none"/>
        </w:tabs>
        <w:jc w:val="both"/>
        <w:rPr/>
      </w:pPr>
      <w:r>
        <w:rPr/>
        <w:t>Настоящий конкурс</w:t>
      </w:r>
      <w:r>
        <w:rPr>
          <w:bCs/>
        </w:rPr>
        <w:t xml:space="preserve"> </w:t>
      </w:r>
      <w:r>
        <w:rPr/>
        <w:t>в электронной форме проводится с использованием функционала Единой электронной торговой площадки «</w:t>
      </w:r>
      <w:r>
        <w:rPr>
          <w:iCs/>
        </w:rPr>
        <w:t>Росэлторг</w:t>
      </w:r>
      <w:r>
        <w:rPr/>
        <w:t>» (далее - ЕЭТП) согласно Правилам работы данной системы.</w:t>
      </w:r>
    </w:p>
    <w:p>
      <w:pPr>
        <w:pStyle w:val="Normal"/>
        <w:tabs>
          <w:tab w:val="left" w:pos="709" w:leader="none"/>
        </w:tabs>
        <w:jc w:val="both"/>
        <w:rPr/>
      </w:pPr>
      <w:r>
        <w:rPr/>
      </w:r>
    </w:p>
    <w:p>
      <w:pPr>
        <w:pStyle w:val="31"/>
        <w:numPr>
          <w:ilvl w:val="0"/>
          <w:numId w:val="2"/>
        </w:numPr>
        <w:tabs>
          <w:tab w:val="clear" w:pos="709"/>
          <w:tab w:val="left" w:pos="284" w:leader="none"/>
        </w:tabs>
        <w:ind w:hanging="0" w:start="0" w:end="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  <w:lang w:val="ru-RU"/>
        </w:rPr>
        <w:t>ВОПРОСЫ ЗАСЕДАНИЯ ПОСТОЯННО ДЕЙСТВУЮЩЕЙ ЗАКУПОЧНОЙ КОМИССИИ: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 переносе сроков.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  <w:lang w:val="ru-RU"/>
        </w:rPr>
      </w:pPr>
      <w:r>
        <w:rPr>
          <w:bCs/>
          <w:iCs/>
          <w:sz w:val="24"/>
          <w:szCs w:val="24"/>
        </w:rPr>
        <w:t>О рассмотрении экспертн</w:t>
      </w:r>
      <w:r>
        <w:rPr>
          <w:bCs/>
          <w:iCs/>
          <w:sz w:val="24"/>
          <w:szCs w:val="24"/>
          <w:lang w:val="ru-RU"/>
        </w:rPr>
        <w:t>ых</w:t>
      </w:r>
      <w:r>
        <w:rPr>
          <w:bCs/>
          <w:iCs/>
          <w:sz w:val="24"/>
          <w:szCs w:val="24"/>
        </w:rPr>
        <w:t xml:space="preserve"> заключени</w:t>
      </w:r>
      <w:r>
        <w:rPr>
          <w:bCs/>
          <w:iCs/>
          <w:sz w:val="24"/>
          <w:szCs w:val="24"/>
          <w:lang w:val="ru-RU"/>
        </w:rPr>
        <w:t>й</w:t>
      </w:r>
      <w:r>
        <w:rPr>
          <w:bCs/>
          <w:iCs/>
          <w:sz w:val="24"/>
          <w:szCs w:val="24"/>
        </w:rPr>
        <w:t xml:space="preserve"> и принятии </w:t>
      </w:r>
      <w:r>
        <w:rPr>
          <w:bCs/>
          <w:iCs/>
          <w:sz w:val="24"/>
          <w:szCs w:val="24"/>
          <w:lang w:val="ru-RU"/>
        </w:rPr>
        <w:t>их</w:t>
      </w:r>
      <w:r>
        <w:rPr>
          <w:bCs/>
          <w:iCs/>
          <w:sz w:val="24"/>
          <w:szCs w:val="24"/>
        </w:rPr>
        <w:t xml:space="preserve"> к сведению</w:t>
      </w:r>
      <w:r>
        <w:rPr>
          <w:sz w:val="24"/>
          <w:szCs w:val="24"/>
          <w:lang w:val="ru-RU"/>
        </w:rPr>
        <w:t>.</w:t>
      </w:r>
    </w:p>
    <w:p>
      <w:pPr>
        <w:pStyle w:val="Style23"/>
        <w:numPr>
          <w:ilvl w:val="0"/>
          <w:numId w:val="6"/>
        </w:numPr>
        <w:tabs>
          <w:tab w:val="clear" w:pos="709"/>
          <w:tab w:val="left" w:pos="0" w:leader="none"/>
          <w:tab w:val="left" w:pos="284" w:leader="none"/>
          <w:tab w:val="left" w:pos="851" w:leader="none"/>
        </w:tabs>
        <w:spacing w:before="0" w:after="0"/>
        <w:ind w:hanging="0" w:start="0" w:end="0"/>
        <w:contextualSpacing/>
        <w:jc w:val="both"/>
        <w:rPr>
          <w:bCs/>
        </w:rPr>
      </w:pPr>
      <w:r>
        <w:rPr>
          <w:bCs/>
        </w:rPr>
        <w:t xml:space="preserve">О признании </w:t>
      </w:r>
      <w:r>
        <w:rPr>
          <w:bCs/>
          <w:lang w:val="ru-RU"/>
        </w:rPr>
        <w:t>заявки участника</w:t>
      </w:r>
      <w:r>
        <w:rPr>
          <w:bCs/>
        </w:rPr>
        <w:t xml:space="preserve"> </w:t>
      </w:r>
      <w:r>
        <w:rPr>
          <w:bCs/>
          <w:lang w:val="ru-RU"/>
        </w:rPr>
        <w:t>не</w:t>
      </w:r>
      <w:r>
        <w:rPr>
          <w:bCs/>
        </w:rPr>
        <w:t>соответствующ</w:t>
      </w:r>
      <w:r>
        <w:rPr>
          <w:bCs/>
          <w:lang w:val="ru-RU"/>
        </w:rPr>
        <w:t>ей</w:t>
      </w:r>
      <w:r>
        <w:rPr>
          <w:bCs/>
        </w:rPr>
        <w:t xml:space="preserve"> требованиям документации о закупке, </w:t>
      </w:r>
      <w:r>
        <w:rPr>
          <w:bCs/>
          <w:lang w:val="ru-RU"/>
        </w:rPr>
        <w:t>отклонении</w:t>
      </w:r>
      <w:r>
        <w:rPr>
          <w:bCs/>
        </w:rPr>
        <w:t xml:space="preserve"> </w:t>
      </w:r>
      <w:r>
        <w:rPr>
          <w:bCs/>
          <w:lang w:val="ru-RU"/>
        </w:rPr>
        <w:t>от</w:t>
      </w:r>
      <w:r>
        <w:rPr>
          <w:bCs/>
        </w:rPr>
        <w:t xml:space="preserve"> дальнейше</w:t>
      </w:r>
      <w:r>
        <w:rPr>
          <w:bCs/>
          <w:lang w:val="ru-RU"/>
        </w:rPr>
        <w:t>го</w:t>
      </w:r>
      <w:r>
        <w:rPr>
          <w:bCs/>
        </w:rPr>
        <w:t xml:space="preserve"> рассмотрени</w:t>
      </w:r>
      <w:r>
        <w:rPr>
          <w:bCs/>
          <w:lang w:val="ru-RU"/>
        </w:rPr>
        <w:t>я</w:t>
      </w:r>
      <w:r>
        <w:rPr>
          <w:bCs/>
        </w:rPr>
        <w:t>.</w:t>
      </w:r>
    </w:p>
    <w:p>
      <w:pPr>
        <w:pStyle w:val="Style23"/>
        <w:numPr>
          <w:ilvl w:val="0"/>
          <w:numId w:val="6"/>
        </w:numPr>
        <w:tabs>
          <w:tab w:val="clear" w:pos="709"/>
          <w:tab w:val="left" w:pos="0" w:leader="none"/>
          <w:tab w:val="left" w:pos="284" w:leader="none"/>
          <w:tab w:val="left" w:pos="851" w:leader="none"/>
        </w:tabs>
        <w:spacing w:before="0" w:after="0"/>
        <w:ind w:hanging="0" w:start="0" w:end="0"/>
        <w:contextualSpacing/>
        <w:jc w:val="both"/>
        <w:rPr>
          <w:bCs/>
        </w:rPr>
      </w:pPr>
      <w:r>
        <w:rPr>
          <w:bCs/>
        </w:rPr>
        <w:t xml:space="preserve">О признании </w:t>
      </w:r>
      <w:r>
        <w:rPr>
          <w:bCs/>
          <w:lang w:val="ru-RU"/>
        </w:rPr>
        <w:t>заявки участника</w:t>
      </w:r>
      <w:r>
        <w:rPr>
          <w:bCs/>
        </w:rPr>
        <w:t xml:space="preserve"> соответствующ</w:t>
      </w:r>
      <w:r>
        <w:rPr>
          <w:bCs/>
          <w:lang w:val="ru-RU"/>
        </w:rPr>
        <w:t>ей</w:t>
      </w:r>
      <w:r>
        <w:rPr>
          <w:bCs/>
        </w:rPr>
        <w:t xml:space="preserve"> требованиям документации о закупке, принятии к дальнейшему рассмотрению</w:t>
      </w:r>
      <w:r>
        <w:rPr>
          <w:bCs/>
          <w:lang w:val="ru-RU"/>
        </w:rPr>
        <w:t xml:space="preserve"> и </w:t>
      </w:r>
      <w:r>
        <w:rPr>
          <w:bCs/>
        </w:rPr>
        <w:t>допуске к процедуре переторжки в заочной форме</w:t>
      </w:r>
      <w:r>
        <w:rPr>
          <w:bCs/>
          <w:lang w:val="ru-RU"/>
        </w:rPr>
        <w:t>.</w:t>
      </w:r>
    </w:p>
    <w:p>
      <w:pPr>
        <w:pStyle w:val="Style23"/>
        <w:tabs>
          <w:tab w:val="clear" w:pos="709"/>
          <w:tab w:val="left" w:pos="0" w:leader="none"/>
          <w:tab w:val="left" w:pos="284" w:leader="none"/>
          <w:tab w:val="left" w:pos="851" w:leader="none"/>
        </w:tabs>
        <w:spacing w:before="0" w:after="0"/>
        <w:ind w:start="0" w:end="0"/>
        <w:contextualSpacing/>
        <w:jc w:val="both"/>
        <w:rPr>
          <w:bCs/>
        </w:rPr>
      </w:pPr>
      <w:r>
        <w:rPr>
          <w:bCs/>
        </w:rPr>
      </w:r>
    </w:p>
    <w:p>
      <w:pPr>
        <w:pStyle w:val="31"/>
        <w:numPr>
          <w:ilvl w:val="0"/>
          <w:numId w:val="2"/>
        </w:numPr>
        <w:tabs>
          <w:tab w:val="clear" w:pos="709"/>
          <w:tab w:val="left" w:pos="284" w:leader="none"/>
        </w:tabs>
        <w:ind w:hanging="0" w:start="0" w:end="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</w:rPr>
        <w:t>Информация о закупке</w:t>
      </w:r>
      <w:r>
        <w:rPr>
          <w:b/>
          <w:bCs/>
          <w:caps/>
          <w:sz w:val="24"/>
          <w:szCs w:val="24"/>
          <w:lang w:val="ru-RU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426" w:leader="none"/>
        </w:tabs>
        <w:autoSpaceDE w:val="false"/>
        <w:ind w:hanging="0" w:start="0" w:end="0"/>
        <w:jc w:val="both"/>
        <w:rPr>
          <w:bCs/>
          <w:iCs/>
          <w:color w:val="0000FF"/>
        </w:rPr>
      </w:pPr>
      <w:r>
        <w:rPr>
          <w:bCs/>
          <w:iCs/>
          <w:color w:val="0000FF"/>
        </w:rPr>
        <w:t xml:space="preserve">Извещение о проведении конкурса в электронной форме от 19.11.2025 </w:t>
      </w:r>
      <w:r>
        <w:rPr>
          <w:b/>
          <w:bCs/>
          <w:iCs/>
          <w:color w:val="0000FF"/>
        </w:rPr>
        <w:t xml:space="preserve">№ </w:t>
      </w:r>
      <w:r>
        <w:rPr>
          <w:b/>
          <w:bCs/>
          <w:iCs/>
          <w:color w:val="0000FF"/>
        </w:rPr>
        <w:t>32515422946,</w:t>
      </w:r>
      <w:r>
        <w:rPr>
          <w:b/>
          <w:bCs/>
          <w:iCs/>
          <w:color w:val="0000FF"/>
        </w:rPr>
        <w:t xml:space="preserve"> </w:t>
      </w:r>
      <w:r>
        <w:rPr>
          <w:bCs/>
          <w:iCs/>
          <w:color w:val="0000FF"/>
        </w:rPr>
        <w:t>опубликовано на официальном сайте Единой информационной системы в сфере закупок (</w:t>
      </w:r>
      <w:hyperlink r:id="rId2">
        <w:r>
          <w:rPr>
            <w:rStyle w:val="Hyperlink"/>
            <w:bCs/>
            <w:iCs/>
            <w:color w:val="0000FF"/>
          </w:rPr>
          <w:t>www.zakupki.gov.ru</w:t>
        </w:r>
      </w:hyperlink>
      <w:r>
        <w:rPr>
          <w:bCs/>
          <w:iCs/>
          <w:color w:val="0000FF"/>
        </w:rPr>
        <w:t xml:space="preserve">), с копией публикации на Единой электронной торговой площадке «Росэлторг» </w:t>
      </w:r>
      <w:r>
        <w:rPr>
          <w:bCs/>
          <w:iCs/>
          <w:color w:val="0000FF"/>
        </w:rPr>
        <w:t>(</w:t>
      </w:r>
      <w:r>
        <w:rPr>
          <w:rStyle w:val="Hyperlink"/>
          <w:bCs/>
          <w:iCs/>
          <w:color w:val="0000FF"/>
        </w:rPr>
        <w:t>www.roseltorg.ru</w:t>
      </w:r>
      <w:r>
        <w:rPr>
          <w:bCs/>
          <w:iCs/>
          <w:color w:val="0000FF"/>
        </w:rPr>
        <w:t>).</w:t>
      </w:r>
    </w:p>
    <w:tbl>
      <w:tblPr>
        <w:tblW w:w="48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10"/>
        <w:gridCol w:w="1847"/>
        <w:gridCol w:w="1580"/>
        <w:gridCol w:w="4199"/>
      </w:tblGrid>
      <w:tr>
        <w:trPr>
          <w:trHeight w:val="58" w:hRule="atLeast"/>
          <w:cantSplit w:val="true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Предмет договора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Стоимость договора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900" w:leader="none"/>
              </w:tabs>
              <w:ind w:hanging="105" w:end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Стоимость единичных расценок</w:t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900" w:leader="none"/>
              </w:tabs>
              <w:ind w:hanging="105" w:end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Срок поставки/ выполнения работ/ оказания услуг</w:t>
            </w:r>
          </w:p>
        </w:tc>
      </w:tr>
      <w:tr>
        <w:trPr>
          <w:trHeight w:val="492" w:hRule="atLeast"/>
          <w:cantSplit w:val="true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Право заключения договора на поставку предохранителей</w:t>
            </w:r>
          </w:p>
        </w:tc>
        <w:tc>
          <w:tcPr>
            <w:tcW w:w="1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36" w:end="0"/>
              <w:jc w:val="center"/>
              <w:rPr/>
            </w:pPr>
            <w:r>
              <w:rPr/>
              <w:t xml:space="preserve">25 000 000, 00 </w:t>
            </w:r>
          </w:p>
          <w:p>
            <w:pPr>
              <w:pStyle w:val="Normal"/>
              <w:ind w:start="136" w:end="0"/>
              <w:jc w:val="center"/>
              <w:rPr/>
            </w:pPr>
            <w:r>
              <w:rPr/>
              <w:t>руб. с НДС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485 736, 00</w:t>
            </w:r>
          </w:p>
          <w:p>
            <w:pPr>
              <w:pStyle w:val="Normal"/>
              <w:jc w:val="center"/>
              <w:rPr/>
            </w:pPr>
            <w:r>
              <w:rPr/>
              <w:t>руб. с НДС</w:t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В соответствии с заявками в течение 21 календарного дня.</w:t>
            </w:r>
          </w:p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Период действия договора поставки - с момента заключения до 31 января 2027 года включительно в части подачи Заявок и до полного исполнения своих обязательств Сторонами в части поставки и оплаты Товара</w:t>
            </w:r>
          </w:p>
        </w:tc>
      </w:tr>
    </w:tbl>
    <w:p>
      <w:pPr>
        <w:pStyle w:val="31"/>
        <w:numPr>
          <w:ilvl w:val="0"/>
          <w:numId w:val="3"/>
        </w:numPr>
        <w:tabs>
          <w:tab w:val="clear" w:pos="709"/>
          <w:tab w:val="left" w:pos="284" w:leader="none"/>
        </w:tabs>
        <w:ind w:hanging="0" w:start="0" w:end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На момент окончания срока подачи заявок </w:t>
      </w:r>
      <w:r>
        <w:rPr>
          <w:bCs/>
          <w:sz w:val="24"/>
          <w:szCs w:val="24"/>
          <w:lang w:val="ru-RU"/>
        </w:rPr>
        <w:t>05.12.</w:t>
      </w:r>
      <w:r>
        <w:rPr>
          <w:bCs/>
          <w:sz w:val="24"/>
          <w:szCs w:val="24"/>
        </w:rPr>
        <w:t>202</w:t>
      </w:r>
      <w:r>
        <w:rPr>
          <w:bCs/>
          <w:sz w:val="24"/>
          <w:szCs w:val="24"/>
          <w:lang w:val="ru-RU"/>
        </w:rPr>
        <w:t>5</w:t>
      </w:r>
      <w:r>
        <w:rPr>
          <w:bCs/>
          <w:sz w:val="24"/>
          <w:szCs w:val="24"/>
        </w:rPr>
        <w:t xml:space="preserve"> г. 1</w:t>
      </w:r>
      <w:r>
        <w:rPr>
          <w:bCs/>
          <w:sz w:val="24"/>
          <w:szCs w:val="24"/>
          <w:lang w:val="ru-RU"/>
        </w:rPr>
        <w:t>1</w:t>
      </w:r>
      <w:r>
        <w:rPr>
          <w:bCs/>
          <w:sz w:val="24"/>
          <w:szCs w:val="24"/>
        </w:rPr>
        <w:t>:00 (время московское) на Е</w:t>
      </w:r>
      <w:r>
        <w:rPr>
          <w:bCs/>
          <w:sz w:val="24"/>
          <w:szCs w:val="24"/>
        </w:rPr>
        <w:t xml:space="preserve">ЭТП </w:t>
      </w:r>
      <w:r>
        <w:rPr>
          <w:bCs/>
          <w:iCs/>
          <w:sz w:val="24"/>
          <w:szCs w:val="24"/>
        </w:rPr>
        <w:t>«Росэлторг»</w:t>
      </w:r>
      <w:r>
        <w:rPr>
          <w:bCs/>
          <w:sz w:val="24"/>
          <w:szCs w:val="24"/>
        </w:rPr>
        <w:t xml:space="preserve"> был</w:t>
      </w:r>
      <w:r>
        <w:rPr>
          <w:bCs/>
          <w:sz w:val="24"/>
          <w:szCs w:val="24"/>
          <w:lang w:val="ru-RU"/>
        </w:rPr>
        <w:t>о</w:t>
      </w:r>
      <w:r>
        <w:rPr>
          <w:bCs/>
          <w:sz w:val="24"/>
          <w:szCs w:val="24"/>
        </w:rPr>
        <w:t xml:space="preserve"> подан</w:t>
      </w:r>
      <w:r>
        <w:rPr>
          <w:bCs/>
          <w:sz w:val="24"/>
          <w:szCs w:val="24"/>
          <w:lang w:val="ru-RU"/>
        </w:rPr>
        <w:t>о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>2</w:t>
      </w:r>
      <w:r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  <w:lang w:val="ru-RU"/>
        </w:rPr>
        <w:t>две</w:t>
      </w:r>
      <w:r>
        <w:rPr>
          <w:bCs/>
          <w:sz w:val="24"/>
          <w:szCs w:val="24"/>
        </w:rPr>
        <w:t>) заяв</w:t>
      </w:r>
      <w:r>
        <w:rPr>
          <w:bCs/>
          <w:sz w:val="24"/>
          <w:szCs w:val="24"/>
          <w:lang w:val="ru-RU"/>
        </w:rPr>
        <w:t>ки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  <w:lang w:val="ru-RU"/>
        </w:rPr>
        <w:t>ов</w:t>
      </w:r>
      <w:r>
        <w:rPr/>
        <w:t>:</w:t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4819"/>
        <w:gridCol w:w="4678"/>
      </w:tblGrid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№ </w:t>
            </w:r>
            <w:r>
              <w:rPr>
                <w:bCs/>
                <w:color w:val="000000"/>
              </w:rPr>
              <w:t>п/п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Наименование участника 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  <w:color w:val="000000"/>
              </w:rPr>
              <w:t>Дата и время подачи заявки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АО «ПОЛИМЕР-АППАРАТ»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01.12.2025 в 09:31 (МСК)</w:t>
            </w:r>
          </w:p>
        </w:tc>
      </w:tr>
      <w:tr>
        <w:trPr>
          <w:trHeight w:val="240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«СФЕРАПРО»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05.12.2025 в 10:15 (МСК)</w:t>
            </w:r>
          </w:p>
        </w:tc>
      </w:tr>
    </w:tbl>
    <w:p>
      <w:pPr>
        <w:pStyle w:val="Normal"/>
        <w:jc w:val="both"/>
        <w:rPr/>
      </w:pPr>
      <w:r>
        <w:rPr>
          <w:b/>
          <w:lang w:val="en-US"/>
        </w:rPr>
        <w:t>III</w:t>
      </w:r>
      <w:r>
        <w:rPr>
          <w:b/>
        </w:rPr>
        <w:t>. РЕШЕНИЕ ЗАКУПОЧНОЙ КОМИССИИ: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142" w:leader="none"/>
          <w:tab w:val="left" w:pos="426" w:leader="none"/>
        </w:tabs>
        <w:ind w:hanging="0" w:start="0" w:end="0"/>
        <w:jc w:val="both"/>
        <w:rPr/>
      </w:pPr>
      <w:r>
        <w:rPr/>
        <w:t>Перенести срок рассмотрения заявок на 15.12.2025 г., срок проведения процедуры переторжки на 16.12.2025 г., срок подведения итогов на 16.12.2025 г.</w:t>
      </w:r>
    </w:p>
    <w:p>
      <w:pPr>
        <w:pStyle w:val="Normal"/>
        <w:tabs>
          <w:tab w:val="clear" w:pos="709"/>
          <w:tab w:val="left" w:pos="142" w:leader="none"/>
          <w:tab w:val="left" w:pos="426" w:leader="none"/>
        </w:tabs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  <w:t>Воздержался – 0 голоса (-ов).</w:t>
      </w:r>
    </w:p>
    <w:p>
      <w:pPr>
        <w:pStyle w:val="Normal"/>
        <w:tabs>
          <w:tab w:val="clear" w:pos="709"/>
          <w:tab w:val="left" w:pos="284" w:leader="none"/>
        </w:tabs>
        <w:ind w:start="720" w:end="0"/>
        <w:jc w:val="both"/>
        <w:rPr>
          <w:bCs/>
          <w:iCs/>
        </w:rPr>
      </w:pPr>
      <w:r>
        <w:rPr>
          <w:bCs/>
          <w:iCs/>
        </w:rPr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284" w:leader="none"/>
        </w:tabs>
        <w:ind w:hanging="0" w:start="0" w:end="0"/>
        <w:jc w:val="both"/>
        <w:rPr>
          <w:bCs/>
          <w:iCs/>
        </w:rPr>
      </w:pPr>
      <w:r>
        <w:rPr>
          <w:bCs/>
        </w:rPr>
        <w:t>П</w:t>
      </w:r>
      <w:r>
        <w:rPr>
          <w:bCs/>
          <w:iCs/>
        </w:rPr>
        <w:t>ринять к сведению мнения экспертов.</w:t>
      </w:r>
    </w:p>
    <w:p>
      <w:pPr>
        <w:pStyle w:val="Normal"/>
        <w:tabs>
          <w:tab w:val="clear" w:pos="709"/>
          <w:tab w:val="left" w:pos="142" w:leader="none"/>
          <w:tab w:val="left" w:pos="426" w:leader="none"/>
        </w:tabs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  <w:t>Воздержался – 0 голоса (-ов).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</w:r>
    </w:p>
    <w:p>
      <w:pPr>
        <w:pStyle w:val="Normal"/>
        <w:jc w:val="both"/>
        <w:rPr>
          <w:color w:val="000000"/>
        </w:rPr>
      </w:pPr>
      <w:r>
        <w:rPr>
          <w:bCs/>
        </w:rPr>
        <w:t xml:space="preserve">2. Признать заявку участника </w:t>
      </w:r>
      <w:r>
        <w:rPr/>
        <w:t>АО «ПОЛИМЕР-АППАРАТ»</w:t>
      </w:r>
      <w:r>
        <w:rPr>
          <w:bCs/>
        </w:rPr>
        <w:t xml:space="preserve"> </w:t>
      </w:r>
      <w:r>
        <w:rPr/>
        <w:t>(-</w:t>
      </w:r>
      <w:r>
        <w:rPr>
          <w:bCs/>
        </w:rPr>
        <w:t xml:space="preserve"> не выполнено требование 7а) Спецификации и требованиям к закупаемой продукции приложение 1 к Документации о закупке, не представлены документы подтверждающие, что Участник является производителем продукции, либо свидетельство производителя на позиции 13-17, 22, 174-175 указанные в п.1.) </w:t>
      </w:r>
      <w:r>
        <w:rPr/>
        <w:t>не</w:t>
      </w:r>
      <w:r>
        <w:rPr>
          <w:bCs/>
        </w:rPr>
        <w:t>соответствующей требованиям документации о закупке и отклонить от дальнейшего рассмотрения.</w:t>
      </w:r>
    </w:p>
    <w:p>
      <w:pPr>
        <w:pStyle w:val="Style23"/>
        <w:tabs>
          <w:tab w:val="clear" w:pos="709"/>
          <w:tab w:val="left" w:pos="426" w:leader="none"/>
        </w:tabs>
        <w:ind w:start="0" w:end="0"/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  <w:t>Воздержался – 0 голоса (-ов).</w:t>
      </w:r>
    </w:p>
    <w:p>
      <w:pPr>
        <w:pStyle w:val="Normal"/>
        <w:numPr>
          <w:ilvl w:val="0"/>
          <w:numId w:val="0"/>
        </w:numPr>
        <w:jc w:val="both"/>
        <w:outlineLvl w:val="1"/>
        <w:rPr/>
      </w:pPr>
      <w:r>
        <w:rPr/>
      </w:r>
    </w:p>
    <w:p>
      <w:pPr>
        <w:pStyle w:val="Normal"/>
        <w:jc w:val="both"/>
        <w:rPr/>
      </w:pPr>
      <w:r>
        <w:rPr>
          <w:bCs/>
        </w:rPr>
        <w:t xml:space="preserve">3.Признать заявку участника </w:t>
      </w:r>
      <w:r>
        <w:rPr/>
        <w:t xml:space="preserve">ООО «СФЕРАПРО» </w:t>
      </w:r>
      <w:r>
        <w:rPr>
          <w:bCs/>
        </w:rPr>
        <w:t>соответствующей требованиям документации о закупке, принять к дальнейшему рассмотрению и</w:t>
      </w:r>
      <w:r>
        <w:rPr>
          <w:color w:val="000000"/>
        </w:rPr>
        <w:t xml:space="preserve"> </w:t>
      </w:r>
      <w:r>
        <w:rPr>
          <w:bCs/>
        </w:rPr>
        <w:t>допустить к процедуре переторжки в заочной форме.</w:t>
      </w:r>
    </w:p>
    <w:p>
      <w:pPr>
        <w:pStyle w:val="Style23"/>
        <w:tabs>
          <w:tab w:val="clear" w:pos="709"/>
          <w:tab w:val="left" w:pos="284" w:leader="none"/>
          <w:tab w:val="left" w:pos="426" w:leader="none"/>
        </w:tabs>
        <w:ind w:start="0" w:end="0"/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color w:val="000000"/>
        </w:rPr>
      </w:pPr>
      <w:r>
        <w:rPr/>
        <w:t>Воздержался – 0 голоса (-ов).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b/>
          <w:i/>
          <w:i/>
        </w:rPr>
      </w:pPr>
      <w:r>
        <w:rPr>
          <w:b/>
          <w:i/>
        </w:rPr>
        <w:t>Решение по вопросу принято.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i/>
          <w:i/>
        </w:rPr>
      </w:pPr>
      <w:r>
        <w:rPr>
          <w:b/>
          <w:i/>
        </w:rPr>
      </w:r>
    </w:p>
    <w:tbl>
      <w:tblPr>
        <w:tblW w:w="4250" w:type="pct"/>
        <w:jc w:val="start"/>
        <w:tblInd w:w="-3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5723"/>
        <w:gridCol w:w="3071"/>
      </w:tblGrid>
      <w:tr>
        <w:trPr>
          <w:trHeight w:val="427" w:hRule="atLeast"/>
        </w:trPr>
        <w:tc>
          <w:tcPr>
            <w:tcW w:w="5723" w:type="dxa"/>
            <w:tcBorders/>
            <w:vAlign w:val="center"/>
          </w:tcPr>
          <w:p>
            <w:pPr>
              <w:pStyle w:val="Normal"/>
              <w:jc w:val="both"/>
              <w:rPr/>
            </w:pPr>
            <w:r>
              <w:rPr>
                <w:color w:val="000000"/>
              </w:rPr>
              <w:t xml:space="preserve">Председатель ПДЗК: 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  <w:t>В.А. Коржаневский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224" w:hRule="atLeast"/>
        </w:trPr>
        <w:tc>
          <w:tcPr>
            <w:tcW w:w="5723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 xml:space="preserve">Ответственный секретарь ПДЗК (без права голоса): </w:t>
            </w:r>
          </w:p>
          <w:p>
            <w:pPr>
              <w:pStyle w:val="Normal"/>
              <w:rPr/>
            </w:pPr>
            <w:r>
              <w:rPr/>
              <w:t>А.Н. Гостева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Н.П. Бородинова, (861)212-26-61</w:t>
      </w:r>
    </w:p>
    <w:sectPr>
      <w:footerReference w:type="default" r:id="rId3"/>
      <w:type w:val="nextPage"/>
      <w:pgSz w:w="11906" w:h="16838"/>
      <w:pgMar w:left="993" w:right="566" w:gutter="0" w:header="0" w:top="426" w:footer="397" w:bottom="453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 Unicode MS">
    <w:charset w:val="00" w:characterSet="windows-1252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426" w:leader="none"/>
      </w:tabs>
      <w:jc w:val="center"/>
      <w:rPr/>
    </w:pPr>
    <w:r>
      <w:rPr>
        <w:bCs/>
        <w:i/>
        <w:sz w:val="18"/>
        <w:szCs w:val="18"/>
      </w:rPr>
      <w:t xml:space="preserve">ПРОТОКОЛ ЗАСЕДАНИЯ ПОСТОЯННО ДЕЙСТВУЮЩЕЙ ЗАКУПОЧНОЙ КОМИССИИ № </w:t>
    </w:r>
    <w:r>
      <w:rPr>
        <w:i/>
        <w:sz w:val="18"/>
        <w:szCs w:val="18"/>
      </w:rPr>
      <w:t>32515422946/</w:t>
    </w:r>
    <w:r>
      <w:rPr>
        <w:bCs/>
        <w:i/>
        <w:sz w:val="18"/>
        <w:szCs w:val="18"/>
      </w:rPr>
      <w:t>1</w:t>
    </w:r>
  </w:p>
  <w:p>
    <w:pPr>
      <w:pStyle w:val="Footer"/>
      <w:tabs>
        <w:tab w:val="clear" w:pos="9355"/>
        <w:tab w:val="center" w:pos="4677" w:leader="none"/>
        <w:tab w:val="right" w:pos="9072" w:leader="none"/>
      </w:tabs>
      <w:jc w:val="end"/>
      <w:rPr/>
    </w:pPr>
    <w:r>
      <w:rPr>
        <w:i/>
        <w:sz w:val="18"/>
        <w:szCs w:val="18"/>
      </w:rPr>
      <w:t xml:space="preserve">Страница </w:t>
    </w:r>
    <w:r>
      <w:rPr>
        <w:i/>
        <w:sz w:val="18"/>
        <w:szCs w:val="18"/>
      </w:rPr>
      <w:fldChar w:fldCharType="begin"/>
    </w:r>
    <w:r>
      <w:rPr>
        <w:sz w:val="18"/>
        <w:i/>
        <w:szCs w:val="18"/>
      </w:rPr>
      <w:instrText xml:space="preserve"> PAGE </w:instrText>
    </w:r>
    <w:r>
      <w:rPr>
        <w:sz w:val="18"/>
        <w:i/>
        <w:szCs w:val="18"/>
      </w:rPr>
      <w:fldChar w:fldCharType="separate"/>
    </w:r>
    <w:r>
      <w:rPr>
        <w:sz w:val="18"/>
        <w:i/>
        <w:szCs w:val="18"/>
      </w:rPr>
      <w:t>2</w:t>
    </w:r>
    <w:r>
      <w:rPr>
        <w:sz w:val="18"/>
        <w:i/>
        <w:szCs w:val="18"/>
      </w:rPr>
      <w:fldChar w:fldCharType="end"/>
    </w:r>
    <w:r>
      <w:rPr>
        <w:i/>
        <w:sz w:val="18"/>
        <w:szCs w:val="18"/>
      </w:rPr>
      <w:t xml:space="preserve"> из 2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jc w:val="center"/>
      <w:textAlignment w:val="baseline"/>
      <w:outlineLvl w:val="0"/>
    </w:pPr>
    <w:rPr>
      <w:rFonts w:ascii="Times New Roman" w:hAnsi="Times New Roman" w:cs="Times New Roman"/>
      <w:szCs w:val="1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verflowPunct w:val="false"/>
      <w:autoSpaceDE w:val="false"/>
      <w:jc w:val="center"/>
      <w:textAlignment w:val="baseline"/>
      <w:outlineLvl w:val="1"/>
    </w:pPr>
    <w:rPr>
      <w:rFonts w:ascii="Times New Roman" w:hAnsi="Times New Roman" w:cs="Times New Roman"/>
      <w:b/>
      <w:bCs/>
      <w:sz w:val="28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verflowPunct w:val="false"/>
      <w:autoSpaceDE w:val="false"/>
      <w:ind w:hanging="0" w:start="-136" w:end="-52"/>
      <w:jc w:val="center"/>
      <w:textAlignment w:val="baseline"/>
      <w:outlineLvl w:val="2"/>
    </w:pPr>
    <w:rPr>
      <w:rFonts w:ascii="Times New Roman" w:hAnsi="Times New Roman" w:cs="Times New Roman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08" w:start="352" w:end="0"/>
      <w:jc w:val="both"/>
      <w:outlineLvl w:val="3"/>
    </w:pPr>
    <w:rPr>
      <w:b/>
      <w:bCs/>
      <w:sz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bCs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360"/>
      <w:outlineLvl w:val="5"/>
    </w:pPr>
    <w:rPr>
      <w:szCs w:val="2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914" w:start="0" w:end="0"/>
      <w:outlineLvl w:val="7"/>
    </w:pPr>
    <w:rPr>
      <w:b/>
      <w:bCs/>
      <w:sz w:val="28"/>
      <w:szCs w:val="20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cs="Times New Roman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b w:val="false"/>
    </w:rPr>
  </w:style>
  <w:style w:type="character" w:styleId="WW8Num7z1">
    <w:name w:val="WW8Num7z1"/>
    <w:qFormat/>
    <w:rPr/>
  </w:style>
  <w:style w:type="character" w:styleId="WW8Num8z0">
    <w:name w:val="WW8Num8z0"/>
    <w:qFormat/>
    <w:rPr>
      <w:color w:val="000000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b w:val="false"/>
      <w:u w:val="none"/>
    </w:rPr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>
      <w:rFonts w:ascii="Times New Roman" w:hAnsi="Times New Roman" w:eastAsia="Times New Roman" w:cs="Times New Roman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b w:val="false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5"/>
    <w:rPr/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Верхний колонтитул Знак"/>
    <w:qFormat/>
    <w:rPr>
      <w:lang w:val="ru-RU" w:bidi="ar-SA"/>
    </w:rPr>
  </w:style>
  <w:style w:type="character" w:styleId="2">
    <w:name w:val=" Знак Знак2"/>
    <w:qFormat/>
    <w:rPr>
      <w:lang w:val="ru-RU" w:bidi="ar-SA"/>
    </w:rPr>
  </w:style>
  <w:style w:type="character" w:styleId="Style7">
    <w:name w:val="Основной текст с отступом Знак"/>
    <w:qFormat/>
    <w:rPr>
      <w:sz w:val="24"/>
    </w:rPr>
  </w:style>
  <w:style w:type="character" w:styleId="3">
    <w:name w:val="Основной текст 3 Знак"/>
    <w:qFormat/>
    <w:rPr>
      <w:sz w:val="26"/>
    </w:rPr>
  </w:style>
  <w:style w:type="character" w:styleId="21">
    <w:name w:val="Основной текст с отступом 2 Знак"/>
    <w:qFormat/>
    <w:rPr>
      <w:sz w:val="24"/>
      <w:szCs w:val="24"/>
    </w:rPr>
  </w:style>
  <w:style w:type="character" w:styleId="Style8">
    <w:name w:val="Текст Знак"/>
    <w:qFormat/>
    <w:rPr>
      <w:rFonts w:ascii="Calibri" w:hAnsi="Calibri" w:eastAsia="Calibri" w:cs="Calibri"/>
      <w:sz w:val="22"/>
      <w:szCs w:val="21"/>
      <w:lang w:val="en-US"/>
    </w:rPr>
  </w:style>
  <w:style w:type="character" w:styleId="notice-number3">
    <w:name w:val="notice-number3"/>
    <w:qFormat/>
    <w:rPr/>
  </w:style>
  <w:style w:type="character" w:styleId="Style9">
    <w:name w:val="Абзац списка Знак"/>
    <w:qFormat/>
    <w:rPr>
      <w:sz w:val="24"/>
      <w:szCs w:val="24"/>
    </w:rPr>
  </w:style>
  <w:style w:type="character" w:styleId="defaultlabelstyle3">
    <w:name w:val="defaultlabelstyle3"/>
    <w:qFormat/>
    <w:rPr>
      <w:rFonts w:ascii="Verdana" w:hAnsi="Verdana" w:cs="Verdana"/>
      <w:b w:val="false"/>
      <w:bCs w:val="false"/>
      <w:color w:val="333333"/>
    </w:rPr>
  </w:style>
  <w:style w:type="character" w:styleId="1">
    <w:name w:val="Основной текст Знак1"/>
    <w:qFormat/>
    <w:rPr>
      <w:rFonts w:ascii="Times New Roman" w:hAnsi="Times New Roman" w:cs="Times New Roman"/>
      <w:sz w:val="23"/>
      <w:szCs w:val="23"/>
      <w:shd w:fill="FFFFFF" w:val="clear"/>
    </w:rPr>
  </w:style>
  <w:style w:type="character" w:styleId="Style10">
    <w:name w:val="Нижний колонтитул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  <w:szCs w:val="20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 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ascii="Arial Unicode MS" w:hAnsi="Arial Unicode MS" w:eastAsia="Arial Unicode MS" w:cs="Arial Unicode MS"/>
    </w:rPr>
  </w:style>
  <w:style w:type="paragraph" w:styleId="31">
    <w:name w:val="Основной текст 3"/>
    <w:basedOn w:val="Normal"/>
    <w:qFormat/>
    <w:pPr>
      <w:jc w:val="both"/>
    </w:pPr>
    <w:rPr>
      <w:sz w:val="26"/>
      <w:szCs w:val="20"/>
      <w:lang w:val="en-US"/>
    </w:rPr>
  </w:style>
  <w:style w:type="paragraph" w:styleId="BodyTextIndent">
    <w:name w:val="Body Text Indent"/>
    <w:basedOn w:val="Normal"/>
    <w:pPr>
      <w:ind w:hanging="0" w:start="567" w:end="0"/>
      <w:jc w:val="both"/>
    </w:pPr>
    <w:rPr>
      <w:szCs w:val="20"/>
      <w:lang w:val="en-US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</w:rPr>
  </w:style>
  <w:style w:type="paragraph" w:styleId="Normal1">
    <w:name w:val="Normal1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  <w:overflowPunct w:val="false"/>
      <w:autoSpaceDE w:val="false"/>
      <w:textAlignment w:val="baselin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22">
    <w:name w:val="Основной текст 2"/>
    <w:basedOn w:val="Normal"/>
    <w:qFormat/>
    <w:pPr>
      <w:jc w:val="center"/>
    </w:pPr>
    <w:rPr/>
  </w:style>
  <w:style w:type="paragraph" w:styleId="Style11">
    <w:name w:val="Цитата"/>
    <w:basedOn w:val="Normal"/>
    <w:qFormat/>
    <w:pPr>
      <w:ind w:hanging="0" w:start="360" w:end="141"/>
    </w:pPr>
    <w:rPr/>
  </w:style>
  <w:style w:type="paragraph" w:styleId="23">
    <w:name w:val="Основной текст с отступом 2"/>
    <w:basedOn w:val="Normal"/>
    <w:qFormat/>
    <w:pPr>
      <w:ind w:hanging="0" w:start="912" w:end="0"/>
      <w:jc w:val="both"/>
    </w:pPr>
    <w:rPr>
      <w:lang w:val="en-US"/>
    </w:rPr>
  </w:style>
  <w:style w:type="paragraph" w:styleId="Style12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8"/>
    </w:rPr>
  </w:style>
  <w:style w:type="paragraph" w:styleId="Style13">
    <w:name w:val="Текст выноски"/>
    <w:basedOn w:val="Normal"/>
    <w:qFormat/>
    <w:pPr>
      <w:overflowPunct w:val="false"/>
      <w:autoSpaceDE w:val="false"/>
      <w:textAlignment w:val="baseline"/>
    </w:pPr>
    <w:rPr>
      <w:rFonts w:ascii="Tahoma" w:hAnsi="Tahoma" w:cs="Tahoma"/>
      <w:sz w:val="16"/>
      <w:szCs w:val="16"/>
    </w:rPr>
  </w:style>
  <w:style w:type="paragraph" w:styleId="32">
    <w:name w:val="Основной текст с отступом 3"/>
    <w:basedOn w:val="Normal"/>
    <w:qFormat/>
    <w:pPr>
      <w:overflowPunct w:val="false"/>
      <w:autoSpaceDE w:val="false"/>
      <w:ind w:firstLine="426" w:start="0" w:end="-1"/>
      <w:jc w:val="both"/>
    </w:pPr>
    <w:rPr>
      <w:szCs w:val="20"/>
    </w:rPr>
  </w:style>
  <w:style w:type="paragraph" w:styleId="Style14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DefaultParagraphFontParaCharChar">
    <w:name w:val="Default Paragraph Font Para Char Char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15">
    <w:name w:val="Текст примечания"/>
    <w:basedOn w:val="Normal"/>
    <w:qFormat/>
    <w:pPr/>
    <w:rPr>
      <w:sz w:val="20"/>
      <w:szCs w:val="20"/>
    </w:rPr>
  </w:style>
  <w:style w:type="paragraph" w:styleId="normal2">
    <w:name w:val="normal2"/>
    <w:basedOn w:val="Normal"/>
    <w:qFormat/>
    <w:pPr>
      <w:snapToGrid w:val="false"/>
      <w:spacing w:before="100" w:after="100"/>
    </w:pPr>
    <w:rPr/>
  </w:style>
  <w:style w:type="paragraph" w:styleId="a">
    <w:name w:val="a"/>
    <w:basedOn w:val="Normal"/>
    <w:qFormat/>
    <w:pPr>
      <w:ind w:firstLine="720" w:start="0" w:end="0"/>
      <w:jc w:val="both"/>
    </w:pPr>
    <w:rPr/>
  </w:style>
  <w:style w:type="paragraph" w:styleId="Style16">
    <w:name w:val="Пункт"/>
    <w:basedOn w:val="Normal"/>
    <w:qFormat/>
    <w:pPr>
      <w:spacing w:lineRule="auto" w:line="360"/>
      <w:jc w:val="both"/>
    </w:pPr>
    <w:rPr>
      <w:sz w:val="28"/>
      <w:szCs w:val="20"/>
    </w:rPr>
  </w:style>
  <w:style w:type="paragraph" w:styleId="Style17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OC5">
    <w:name w:val="toc 5"/>
    <w:basedOn w:val="Normal"/>
    <w:next w:val="Normal"/>
    <w:pPr>
      <w:widowControl w:val="false"/>
      <w:autoSpaceDE w:val="false"/>
      <w:ind w:hanging="0" w:start="800" w:end="0"/>
    </w:pPr>
    <w:rPr>
      <w:rFonts w:ascii="Arial" w:hAnsi="Arial" w:cs="Arial"/>
      <w:sz w:val="20"/>
      <w:szCs w:val="20"/>
    </w:rPr>
  </w:style>
  <w:style w:type="paragraph" w:styleId="12">
    <w:name w:val="1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FR1">
    <w:name w:val="FR1"/>
    <w:qFormat/>
    <w:pPr>
      <w:widowControl w:val="false"/>
      <w:bidi w:val="0"/>
      <w:spacing w:lineRule="auto" w:line="300" w:before="160" w:after="0"/>
      <w:jc w:val="center"/>
    </w:pPr>
    <w:rPr>
      <w:rFonts w:ascii="Arial" w:hAnsi="Arial" w:eastAsia="Times New Roman" w:cs="Arial"/>
      <w:color w:val="auto"/>
      <w:sz w:val="16"/>
      <w:szCs w:val="20"/>
      <w:lang w:val="ru-RU" w:bidi="ar-SA" w:eastAsia="zh-CN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ubtitle">
    <w:name w:val="Subtitle"/>
    <w:basedOn w:val="Normal"/>
    <w:next w:val="BodyText"/>
    <w:qFormat/>
    <w:pPr/>
    <w:rPr>
      <w:sz w:val="36"/>
    </w:rPr>
  </w:style>
  <w:style w:type="paragraph" w:styleId="Style18">
    <w:name w:val="Маркированный список"/>
    <w:basedOn w:val="Normal"/>
    <w:qFormat/>
    <w:pPr>
      <w:numPr>
        <w:ilvl w:val="0"/>
        <w:numId w:val="4"/>
      </w:numPr>
      <w:tabs>
        <w:tab w:val="clear" w:pos="709"/>
        <w:tab w:val="left" w:pos="1069" w:leader="none"/>
      </w:tabs>
      <w:spacing w:lineRule="auto" w:line="360"/>
      <w:ind w:hanging="0" w:start="1069" w:end="567"/>
    </w:pPr>
    <w:rPr>
      <w:szCs w:val="20"/>
    </w:rPr>
  </w:style>
  <w:style w:type="paragraph" w:styleId="xl83">
    <w:name w:val="xl8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  <w:lang w:val="en-US"/>
    </w:rPr>
  </w:style>
  <w:style w:type="paragraph" w:styleId="Style19">
    <w:name w:val="Подпункт"/>
    <w:basedOn w:val="Style16"/>
    <w:qFormat/>
    <w:pPr>
      <w:numPr>
        <w:ilvl w:val="0"/>
        <w:numId w:val="0"/>
      </w:numPr>
      <w:tabs>
        <w:tab w:val="clear" w:pos="709"/>
        <w:tab w:val="left" w:pos="1276" w:leader="none"/>
      </w:tabs>
      <w:ind w:hanging="1134" w:start="1276" w:end="0"/>
    </w:pPr>
    <w:rPr>
      <w:szCs w:val="28"/>
    </w:rPr>
  </w:style>
  <w:style w:type="paragraph" w:styleId="Style20">
    <w:name w:val="Подподпункт"/>
    <w:basedOn w:val="Style19"/>
    <w:qFormat/>
    <w:pPr>
      <w:tabs>
        <w:tab w:val="clear" w:pos="1276"/>
        <w:tab w:val="left" w:pos="1843" w:leader="none"/>
      </w:tabs>
      <w:ind w:hanging="567" w:start="1843" w:end="0"/>
    </w:pPr>
    <w:rPr/>
  </w:style>
  <w:style w:type="paragraph" w:styleId="Style21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14">
    <w:name w:val=" Знак1 Знак Знак Знак Знак Знак Знак"/>
    <w:basedOn w:val="Normal"/>
    <w:qFormat/>
    <w:pPr>
      <w:tabs>
        <w:tab w:val="clear" w:pos="709"/>
        <w:tab w:val="left" w:pos="1069" w:leader="none"/>
      </w:tabs>
      <w:spacing w:lineRule="exact" w:line="240" w:before="0" w:after="160"/>
      <w:ind w:hanging="360" w:start="1069" w:end="0"/>
      <w:jc w:val="both"/>
    </w:pPr>
    <w:rPr>
      <w:rFonts w:ascii="Verdana" w:hAnsi="Verdana" w:cs="Arial"/>
      <w:sz w:val="20"/>
      <w:szCs w:val="20"/>
      <w:lang w:val="en-US"/>
    </w:rPr>
  </w:style>
  <w:style w:type="paragraph" w:styleId="24">
    <w:name w:val=" Знак2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imes12">
    <w:name w:val="Times 12"/>
    <w:basedOn w:val="Normal"/>
    <w:qFormat/>
    <w:pPr>
      <w:overflowPunct w:val="false"/>
      <w:autoSpaceDE w:val="false"/>
      <w:ind w:firstLine="567" w:start="0" w:end="0"/>
      <w:jc w:val="both"/>
    </w:pPr>
    <w:rPr>
      <w:szCs w:val="20"/>
    </w:rPr>
  </w:style>
  <w:style w:type="paragraph" w:styleId="Style22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25">
    <w:name w:val="Обычный2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3">
    <w:name w:val="Абзац списка"/>
    <w:basedOn w:val="Normal"/>
    <w:qFormat/>
    <w:pPr>
      <w:ind w:hanging="0" w:start="708" w:end="0"/>
    </w:pPr>
    <w:rPr>
      <w:lang w:val="en-US"/>
    </w:rPr>
  </w:style>
  <w:style w:type="paragraph" w:styleId="Style24">
    <w:name w:val="Таблица шапка"/>
    <w:basedOn w:val="Normal"/>
    <w:qFormat/>
    <w:pPr>
      <w:keepNext w:val="true"/>
      <w:snapToGrid w:val="false"/>
      <w:spacing w:before="40" w:after="40"/>
      <w:ind w:hanging="0" w:start="57" w:end="57"/>
    </w:pPr>
    <w:rPr>
      <w:sz w:val="22"/>
      <w:szCs w:val="20"/>
    </w:rPr>
  </w:style>
  <w:style w:type="paragraph" w:styleId="Style25">
    <w:name w:val="Текст"/>
    <w:basedOn w:val="Normal"/>
    <w:qFormat/>
    <w:pPr/>
    <w:rPr>
      <w:rFonts w:ascii="Calibri" w:hAnsi="Calibri" w:eastAsia="Calibri" w:cs="Calibri"/>
      <w:sz w:val="22"/>
      <w:szCs w:val="21"/>
      <w:lang w:val="en-US"/>
    </w:rPr>
  </w:style>
  <w:style w:type="paragraph" w:styleId="P-Style">
    <w:name w:val="P-Style"/>
    <w:basedOn w:val="Normal"/>
    <w:qFormat/>
    <w:pPr>
      <w:spacing w:lineRule="auto" w:line="276" w:before="0" w:after="95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2023-05-16T05:30:00Z</dcterms:created>
  <dc:creator>SvetlanaP</dc:creator>
  <dc:description/>
  <cp:keywords/>
  <dc:language>en-US</dc:language>
  <cp:lastModifiedBy>Бородинова Наталья Петровна</cp:lastModifiedBy>
  <cp:lastPrinted>2023-05-15T15:40:00Z</cp:lastPrinted>
  <dcterms:modified xsi:type="dcterms:W3CDTF">2025-12-15T08:14:00Z</dcterms:modified>
  <cp:revision>1318</cp:revision>
  <dc:subject/>
  <dc:title>Российское акционерное общество</dc:title>
</cp:coreProperties>
</file>