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autoSpaceDE w:val="false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</w:r>
    </w:p>
    <w:p>
      <w:pPr>
        <w:pStyle w:val="Normal"/>
        <w:widowControl w:val="false"/>
        <w:autoSpaceDE w:val="false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>Протокол подведения итогов</w:t>
      </w:r>
    </w:p>
    <w:p>
      <w:pPr>
        <w:pStyle w:val="Normal"/>
        <w:widowControl w:val="false"/>
        <w:autoSpaceDE w:val="false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 xml:space="preserve">№ </w:t>
      </w:r>
      <w:r>
        <w:rPr>
          <w:rFonts w:cs="Times New Roman" w:ascii="Times New Roman" w:hAnsi="Times New Roman"/>
          <w:b/>
          <w:bCs/>
          <w:sz w:val="16"/>
          <w:szCs w:val="16"/>
        </w:rPr>
        <w:t>32515508422</w:t>
      </w:r>
    </w:p>
    <w:p>
      <w:pPr>
        <w:pStyle w:val="Normal"/>
        <w:widowControl w:val="false"/>
        <w:autoSpaceDE w:val="false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</w:r>
    </w:p>
    <w:p>
      <w:pPr>
        <w:pStyle w:val="Normal"/>
        <w:widowControl w:val="false"/>
        <w:autoSpaceDE w:val="false"/>
        <w:spacing w:lineRule="auto" w:line="240" w:before="0" w:after="0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225"/>
        <w:gridCol w:w="5263"/>
      </w:tblGrid>
      <w:tr>
        <w:trPr>
          <w:trHeight w:val="100" w:hRule="atLeast"/>
        </w:trPr>
        <w:tc>
          <w:tcPr>
            <w:tcW w:w="5225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г. Сургут, ул. Маяковского, д. 15 </w:t>
            </w:r>
          </w:p>
        </w:tc>
        <w:tc>
          <w:tcPr>
            <w:tcW w:w="5263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end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«15» декабря 2025 г.</w:t>
            </w:r>
          </w:p>
        </w:tc>
      </w:tr>
      <w:tr>
        <w:trPr>
          <w:trHeight w:val="100" w:hRule="atLeast"/>
        </w:trPr>
        <w:tc>
          <w:tcPr>
            <w:tcW w:w="5225" w:type="dxa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263" w:type="dxa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Заказчиком является: СУРГУТСКОЕ ГОРОДСКОЕ МУНИЦИПАЛЬНОЕ УНИТАРНОЕ ПРЕДПРИЯТИЕ "ГОРОДСКИЕ ТЕПЛОВЫЕ СЕТИ"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/>
      </w:pPr>
      <w:r>
        <w:rPr>
          <w:rFonts w:cs="Times New Roman" w:ascii="Times New Roman" w:hAnsi="Times New Roman"/>
          <w:sz w:val="16"/>
          <w:szCs w:val="16"/>
        </w:rPr>
        <w:t>Организатором процедуры является: СУРГУТСКОЕ ГОРОДСКОЕ МУНИЦИПАЛЬНОЕ УНИТАРНОЕ ПРЕДПРИЯТИЕ "ГОРОДСКИЕ ТЕПЛОВЫЕ СЕТИ"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firstLine="340" w:start="0" w:end="0"/>
        <w:contextualSpacing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 xml:space="preserve">Наименование способа закупки: </w:t>
      </w:r>
      <w:r>
        <w:rPr>
          <w:rFonts w:cs="Times New Roman" w:ascii="Times New Roman" w:hAnsi="Times New Roman"/>
          <w:bCs/>
          <w:sz w:val="16"/>
          <w:szCs w:val="16"/>
        </w:rPr>
        <w:t>Запрос оферт в электронной форме.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firstLine="340" w:start="0" w:end="0"/>
        <w:contextualSpacing/>
        <w:jc w:val="both"/>
        <w:rPr>
          <w:rFonts w:ascii="Times New Roman" w:hAnsi="Times New Roman" w:cs="Times New Roman"/>
          <w:bCs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 xml:space="preserve">Предмет закупки (предмет договора): </w:t>
      </w:r>
      <w:r>
        <w:rPr>
          <w:rFonts w:cs="Times New Roman" w:ascii="Times New Roman" w:hAnsi="Times New Roman"/>
          <w:bCs/>
          <w:sz w:val="16"/>
          <w:szCs w:val="16"/>
        </w:rPr>
        <w:t>Выполнение пусконаладочных работ после замены ДЭС 100 кВт, 2 степени автоматизации на котельной №22.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firstLine="340" w:start="0" w:end="0"/>
        <w:contextualSpacing/>
        <w:jc w:val="both"/>
        <w:rPr>
          <w:rFonts w:ascii="Times New Roman" w:hAnsi="Times New Roman" w:cs="Times New Roman"/>
          <w:bCs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 xml:space="preserve">Начальная максимальная цена договора: </w:t>
      </w:r>
      <w:r>
        <w:rPr>
          <w:rFonts w:cs="Times New Roman" w:ascii="Times New Roman" w:hAnsi="Times New Roman"/>
          <w:bCs/>
          <w:sz w:val="16"/>
          <w:szCs w:val="16"/>
        </w:rPr>
        <w:t>355 768 рублей 92 копейки с учётом НДС (20%).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firstLine="340" w:start="0" w:end="0"/>
        <w:contextualSpacing/>
        <w:jc w:val="both"/>
        <w:rPr>
          <w:rFonts w:ascii="Times New Roman" w:hAnsi="Times New Roman" w:cs="Times New Roman"/>
          <w:bCs/>
          <w:sz w:val="16"/>
          <w:szCs w:val="16"/>
        </w:rPr>
      </w:pPr>
      <w:r>
        <w:rPr>
          <w:rFonts w:cs="Times New Roman" w:ascii="Times New Roman" w:hAnsi="Times New Roman"/>
          <w:bCs/>
          <w:sz w:val="16"/>
          <w:szCs w:val="16"/>
        </w:rPr>
        <w:t xml:space="preserve">Извещение о проведении настоящей процедуры было размещено «09» декабря 2025 г. на сайте Единой электронной торговой площадки           (АО «ЕЭТП») по адресу в сети «Интернет»: https://com.roseltorg.ru/ и сайте Единой информационной системы в сфере закупок по адресу в сети «Интернет»: http://zakupki.gov.ru/. 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firstLine="340" w:start="0" w:end="0"/>
        <w:contextualSpacing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 xml:space="preserve">Срок исполнения договора: </w:t>
      </w:r>
      <w:r>
        <w:rPr>
          <w:rFonts w:cs="Times New Roman" w:ascii="Times New Roman" w:hAnsi="Times New Roman"/>
          <w:bCs/>
          <w:sz w:val="16"/>
          <w:szCs w:val="16"/>
        </w:rPr>
        <w:t>по «31» марта 2026 года.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firstLine="340" w:start="0" w:end="0"/>
        <w:contextualSpacing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/>
        <w:t>Сведения об объеме закупаемых товаров, работ, услуг:</w:t>
      </w:r>
    </w:p>
    <w:tbl>
      <w:tblPr>
        <w:tblW w:w="1049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101"/>
        <w:gridCol w:w="1559"/>
        <w:gridCol w:w="1418"/>
        <w:gridCol w:w="992"/>
        <w:gridCol w:w="1134"/>
        <w:gridCol w:w="1286"/>
      </w:tblGrid>
      <w:tr>
        <w:trPr>
          <w:trHeight w:val="355" w:hRule="atLeast"/>
          <w:cantSplit w:val="true"/>
        </w:trPr>
        <w:tc>
          <w:tcPr>
            <w:tcW w:w="4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Наименование ТРУ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Количество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Единица измерения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Цена ТРУ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Код ОКПД2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Код ОКВЭД2</w:t>
            </w:r>
          </w:p>
        </w:tc>
      </w:tr>
      <w:tr>
        <w:trPr>
          <w:cantSplit w:val="true"/>
        </w:trPr>
        <w:tc>
          <w:tcPr>
            <w:tcW w:w="4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Выполнение пусконаладочных работ после замены ДЭС 100 кВт, 2 степени автоматизации на котельной №22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Усл. ед.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71.20.13.110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71.20</w:t>
            </w:r>
          </w:p>
        </w:tc>
      </w:tr>
    </w:tbl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firstLine="340" w:start="0" w:end="0"/>
        <w:contextualSpacing/>
        <w:jc w:val="both"/>
        <w:rPr>
          <w:b/>
          <w:bCs/>
          <w:sz w:val="18"/>
          <w:szCs w:val="18"/>
        </w:rPr>
      </w:pPr>
      <w:r>
        <w:rPr>
          <w:rFonts w:cs="Times New Roman" w:ascii="Times New Roman" w:hAnsi="Times New Roman"/>
          <w:bCs/>
          <w:sz w:val="16"/>
          <w:szCs w:val="16"/>
        </w:rPr>
        <w:t xml:space="preserve"> </w:t>
      </w:r>
      <w:r>
        <w:rPr>
          <w:rFonts w:cs="Times New Roman" w:ascii="Times New Roman" w:hAnsi="Times New Roman"/>
          <w:b/>
          <w:sz w:val="16"/>
          <w:szCs w:val="16"/>
        </w:rPr>
        <w:t>Открытие доступа к заявкам осуществлено «12» декабря 2025 г.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firstLine="340" w:start="0" w:end="0"/>
        <w:contextualSpacing/>
        <w:jc w:val="both"/>
        <w:rPr>
          <w:rFonts w:ascii="Times New Roman" w:hAnsi="Times New Roman" w:cs="Times New Roman"/>
          <w:bCs/>
          <w:sz w:val="16"/>
          <w:szCs w:val="16"/>
        </w:rPr>
      </w:pPr>
      <w:r>
        <w:rPr>
          <w:rFonts w:cs="Times New Roman" w:ascii="Times New Roman" w:hAnsi="Times New Roman"/>
          <w:bCs/>
          <w:sz w:val="16"/>
          <w:szCs w:val="16"/>
        </w:rPr>
        <w:t>Рассмотрение, оценка предложений на участие в Запросе оферт в электронной форме проводилось комиссией по закупкам, утверждённой приказом СГМУП “ГТС” № 1301-02 от 08.08.2018 «О создании комиссии по осуществлению закупок», по адресу: 628403, г. Сургут,                                  ул. Маяковского, д. 15.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firstLine="340" w:start="0" w:end="0"/>
        <w:contextualSpacing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Комиссия рассмотрела предложения на участие в Запросе оферт в электронной форме в соответствии с требованиями и условиями, установленными в Извещении, и приняла решение:</w:t>
      </w:r>
    </w:p>
    <w:p>
      <w:pPr>
        <w:pStyle w:val="Style18"/>
        <w:widowControl w:val="false"/>
        <w:numPr>
          <w:ilvl w:val="1"/>
          <w:numId w:val="1"/>
        </w:numPr>
        <w:autoSpaceDE w:val="false"/>
        <w:spacing w:lineRule="auto" w:line="240" w:before="0" w:after="0"/>
        <w:ind w:firstLine="340" w:start="0" w:end="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Признать соответствующими требованиям к участнику и допустить следующих участников к рассмотрению и оценке предложений:</w:t>
      </w:r>
    </w:p>
    <w:tbl>
      <w:tblPr>
        <w:tblpPr w:vertAnchor="text" w:horzAnchor="margin" w:rightFromText="180" w:tblpX="5" w:tblpY="82"/>
        <w:tblW w:w="10517" w:type="dxa"/>
        <w:jc w:val="start"/>
        <w:tblInd w:w="30" w:type="dxa"/>
        <w:tblLayout w:type="fixed"/>
        <w:tblCellMar>
          <w:top w:w="30" w:type="dxa"/>
          <w:start w:w="30" w:type="dxa"/>
          <w:bottom w:w="30" w:type="dxa"/>
          <w:end w:w="30" w:type="dxa"/>
        </w:tblCellMar>
      </w:tblPr>
      <w:tblGrid>
        <w:gridCol w:w="1007"/>
        <w:gridCol w:w="2000"/>
        <w:gridCol w:w="1969"/>
        <w:gridCol w:w="2126"/>
        <w:gridCol w:w="3415"/>
      </w:tblGrid>
      <w:tr>
        <w:trPr>
          <w:trHeight w:val="1616" w:hRule="atLeast"/>
        </w:trPr>
        <w:tc>
          <w:tcPr>
            <w:tcW w:w="1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Порядковый номер заявки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 xml:space="preserve">№ </w:t>
            </w: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заявки</w:t>
            </w:r>
          </w:p>
        </w:tc>
        <w:tc>
          <w:tcPr>
            <w:tcW w:w="1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 xml:space="preserve">Дата и время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 xml:space="preserve">регистрации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заявки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Заявка, допущенная к оценке и сопоставлению заявок</w:t>
            </w:r>
          </w:p>
        </w:tc>
        <w:tc>
          <w:tcPr>
            <w:tcW w:w="3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13" w:end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Основание для решения</w:t>
            </w:r>
          </w:p>
        </w:tc>
      </w:tr>
      <w:tr>
        <w:trPr>
          <w:trHeight w:val="1061" w:hRule="atLeast"/>
        </w:trPr>
        <w:tc>
          <w:tcPr>
            <w:tcW w:w="1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Заявка на участие                № 951814823 на ЭП</w:t>
            </w:r>
          </w:p>
        </w:tc>
        <w:tc>
          <w:tcPr>
            <w:tcW w:w="1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11.12.2025                        14:45 (МСК)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</w:t>
            </w:r>
          </w:p>
        </w:tc>
        <w:tc>
          <w:tcPr>
            <w:tcW w:w="3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13" w:end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Состав документов заявителя соответствует требованиям извещения</w:t>
            </w:r>
          </w:p>
        </w:tc>
      </w:tr>
      <w:tr>
        <w:trPr>
          <w:trHeight w:val="1061" w:hRule="atLeast"/>
        </w:trPr>
        <w:tc>
          <w:tcPr>
            <w:tcW w:w="1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Заявка на участие        </w:t>
            </w:r>
          </w:p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№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703374458 на ЭП</w:t>
            </w:r>
          </w:p>
        </w:tc>
        <w:tc>
          <w:tcPr>
            <w:tcW w:w="1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11.12.2025                        16:59 (МСК)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</w:t>
            </w:r>
          </w:p>
        </w:tc>
        <w:tc>
          <w:tcPr>
            <w:tcW w:w="3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13" w:end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Состав документов заявителя соответствует требованиям извещения</w:t>
            </w:r>
          </w:p>
        </w:tc>
      </w:tr>
    </w:tbl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firstLine="340" w:start="0" w:end="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/>
      <w:r>
        <w:rPr>
          <w:rFonts w:cs="Times New Roman" w:ascii="Times New Roman" w:hAnsi="Times New Roman"/>
          <w:sz w:val="16"/>
          <w:szCs w:val="16"/>
        </w:rPr>
        <w:t>Предложения участников закупки по критериям оценки заявок, указанным в извещении</w:t>
      </w:r>
      <w:r>
        <w:rPr/>
        <w:t>, результаты оценки и сопоставления заявок.</w:t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0"/>
        <w:gridCol w:w="1184"/>
        <w:gridCol w:w="1019"/>
        <w:gridCol w:w="922"/>
        <w:gridCol w:w="1497"/>
        <w:gridCol w:w="1362"/>
        <w:gridCol w:w="948"/>
        <w:gridCol w:w="1501"/>
      </w:tblGrid>
      <w:tr>
        <w:trPr>
          <w:trHeight w:val="944" w:hRule="atLeast"/>
        </w:trPr>
        <w:tc>
          <w:tcPr>
            <w:tcW w:w="19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6"/>
                <w:szCs w:val="16"/>
              </w:rPr>
              <w:t>Наименование участника</w:t>
            </w:r>
          </w:p>
        </w:tc>
        <w:tc>
          <w:tcPr>
            <w:tcW w:w="11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6"/>
                <w:szCs w:val="16"/>
              </w:rPr>
              <w:t xml:space="preserve">№ </w:t>
            </w:r>
            <w:r>
              <w:rPr>
                <w:rFonts w:cs="Times New Roman" w:ascii="Times New Roman" w:hAnsi="Times New Roman"/>
                <w:bCs/>
                <w:color w:val="000000"/>
                <w:sz w:val="16"/>
                <w:szCs w:val="16"/>
              </w:rPr>
              <w:t>заявки</w:t>
            </w:r>
          </w:p>
        </w:tc>
        <w:tc>
          <w:tcPr>
            <w:tcW w:w="19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6"/>
                <w:szCs w:val="16"/>
              </w:rPr>
              <w:t>Критерий «Цена договора» (</w:t>
            </w:r>
            <w:r>
              <w:rPr>
                <w:rFonts w:cs="Times New Roman" w:ascii="Times New Roman" w:hAnsi="Times New Roman"/>
                <w:bCs/>
                <w:color w:val="000000"/>
                <w:sz w:val="16"/>
                <w:szCs w:val="16"/>
                <w:lang w:val="en-US"/>
              </w:rPr>
              <w:t>max</w:t>
            </w:r>
            <w:r>
              <w:rPr>
                <w:rFonts w:cs="Times New Roman" w:ascii="Times New Roman" w:hAnsi="Times New Roman"/>
                <w:bCs/>
                <w:color w:val="000000"/>
                <w:sz w:val="16"/>
                <w:szCs w:val="16"/>
              </w:rPr>
              <w:t xml:space="preserve"> 60%)</w:t>
            </w:r>
          </w:p>
        </w:tc>
        <w:tc>
          <w:tcPr>
            <w:tcW w:w="28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6"/>
                <w:szCs w:val="16"/>
              </w:rPr>
              <w:t>Критерий "Опыт исполнения договоров на выполнение пусконаладочных работ после замены/установки ДЭС/ монтажа ВРУ/ автоматизации резервного электроснабжения здания" (</w:t>
            </w:r>
            <w:r>
              <w:rPr>
                <w:rFonts w:cs="Times New Roman" w:ascii="Times New Roman" w:hAnsi="Times New Roman"/>
                <w:bCs/>
                <w:color w:val="000000"/>
                <w:sz w:val="16"/>
                <w:szCs w:val="16"/>
                <w:lang w:val="en-US"/>
              </w:rPr>
              <w:t>max</w:t>
            </w:r>
            <w:r>
              <w:rPr>
                <w:rFonts w:cs="Times New Roman" w:ascii="Times New Roman" w:hAnsi="Times New Roman"/>
                <w:bCs/>
                <w:color w:val="000000"/>
                <w:sz w:val="16"/>
                <w:szCs w:val="16"/>
              </w:rPr>
              <w:t xml:space="preserve"> 40%)</w:t>
            </w:r>
          </w:p>
        </w:tc>
        <w:tc>
          <w:tcPr>
            <w:tcW w:w="94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6"/>
                <w:szCs w:val="16"/>
              </w:rPr>
              <w:t xml:space="preserve">Итоговый балл 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6"/>
                <w:szCs w:val="16"/>
              </w:rPr>
              <w:t>Порядковый номер, присвоенный по мере ухудшения результатов оценки и сопоставления заявок</w:t>
            </w:r>
          </w:p>
        </w:tc>
      </w:tr>
      <w:tr>
        <w:trPr>
          <w:trHeight w:val="575" w:hRule="atLeast"/>
          <w:cantSplit w:val="true"/>
        </w:trPr>
        <w:tc>
          <w:tcPr>
            <w:tcW w:w="19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1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-108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6"/>
                <w:szCs w:val="16"/>
              </w:rPr>
              <w:t>Предложение участника закупки по критерию</w:t>
            </w:r>
          </w:p>
        </w:tc>
        <w:tc>
          <w:tcPr>
            <w:tcW w:w="9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6"/>
                <w:szCs w:val="16"/>
              </w:rPr>
              <w:t>Оценка по критерию</w:t>
            </w:r>
          </w:p>
        </w:tc>
        <w:tc>
          <w:tcPr>
            <w:tcW w:w="1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6"/>
                <w:szCs w:val="16"/>
              </w:rPr>
              <w:t>Предложение участника закупки по критерию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6"/>
                <w:szCs w:val="16"/>
              </w:rPr>
              <w:t>Оценка по критерию</w:t>
            </w:r>
          </w:p>
        </w:tc>
        <w:tc>
          <w:tcPr>
            <w:tcW w:w="9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ind w:start="113" w:end="113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15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ind w:start="113" w:end="113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rPr>
          <w:trHeight w:val="183" w:hRule="atLeast"/>
        </w:trPr>
        <w:tc>
          <w:tcPr>
            <w:tcW w:w="19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Общество с ограниченной ответственностью «ЭнергоРемНаладка»</w:t>
            </w:r>
          </w:p>
        </w:tc>
        <w:tc>
          <w:tcPr>
            <w:tcW w:w="11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Заявка на участие                 № 951814823 на ЭП</w:t>
            </w:r>
          </w:p>
        </w:tc>
        <w:tc>
          <w:tcPr>
            <w:tcW w:w="10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145 000,00</w:t>
            </w:r>
          </w:p>
        </w:tc>
        <w:tc>
          <w:tcPr>
            <w:tcW w:w="92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60,00</w:t>
            </w:r>
          </w:p>
        </w:tc>
        <w:tc>
          <w:tcPr>
            <w:tcW w:w="1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0</w:t>
            </w:r>
          </w:p>
        </w:tc>
        <w:tc>
          <w:tcPr>
            <w:tcW w:w="13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0,00</w:t>
            </w:r>
          </w:p>
        </w:tc>
        <w:tc>
          <w:tcPr>
            <w:tcW w:w="94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60,00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</w:tr>
      <w:tr>
        <w:trPr>
          <w:trHeight w:val="1075" w:hRule="atLeast"/>
        </w:trPr>
        <w:tc>
          <w:tcPr>
            <w:tcW w:w="19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1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napToGrid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0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2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</w:r>
          </w:p>
        </w:tc>
        <w:tc>
          <w:tcPr>
            <w:tcW w:w="1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before="0" w:after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6"/>
                <w:szCs w:val="16"/>
              </w:rPr>
              <w:t>(представлена информация о 2 договорах: не принята к расчёту информация о 2-х договорах: представлены не в полном объеме)</w:t>
            </w:r>
          </w:p>
        </w:tc>
        <w:tc>
          <w:tcPr>
            <w:tcW w:w="13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9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</w:r>
          </w:p>
        </w:tc>
        <w:tc>
          <w:tcPr>
            <w:tcW w:w="15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</w:r>
          </w:p>
        </w:tc>
      </w:tr>
      <w:tr>
        <w:trPr>
          <w:trHeight w:val="99" w:hRule="atLeast"/>
        </w:trPr>
        <w:tc>
          <w:tcPr>
            <w:tcW w:w="19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Общество с ограниченной ответственностью «РегионЭнергоСервис72»</w:t>
            </w:r>
          </w:p>
        </w:tc>
        <w:tc>
          <w:tcPr>
            <w:tcW w:w="11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Заявка на участие        </w:t>
            </w:r>
          </w:p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№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703374458 на ЭП</w:t>
            </w:r>
          </w:p>
        </w:tc>
        <w:tc>
          <w:tcPr>
            <w:tcW w:w="10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265 000,00</w:t>
            </w:r>
          </w:p>
        </w:tc>
        <w:tc>
          <w:tcPr>
            <w:tcW w:w="92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32,83</w:t>
            </w:r>
          </w:p>
        </w:tc>
        <w:tc>
          <w:tcPr>
            <w:tcW w:w="1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0</w:t>
            </w:r>
          </w:p>
        </w:tc>
        <w:tc>
          <w:tcPr>
            <w:tcW w:w="13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0,00</w:t>
            </w:r>
          </w:p>
        </w:tc>
        <w:tc>
          <w:tcPr>
            <w:tcW w:w="94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32,83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</w:tr>
      <w:tr>
        <w:trPr>
          <w:trHeight w:val="709" w:hRule="atLeast"/>
        </w:trPr>
        <w:tc>
          <w:tcPr>
            <w:tcW w:w="19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1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napToGrid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0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2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</w:r>
          </w:p>
        </w:tc>
        <w:tc>
          <w:tcPr>
            <w:tcW w:w="1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before="0" w:after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color w:val="000000"/>
                <w:sz w:val="16"/>
                <w:szCs w:val="16"/>
              </w:rPr>
              <w:t>(не представлена информация о договорах)</w:t>
            </w:r>
          </w:p>
        </w:tc>
        <w:tc>
          <w:tcPr>
            <w:tcW w:w="13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9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</w:r>
          </w:p>
        </w:tc>
        <w:tc>
          <w:tcPr>
            <w:tcW w:w="15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</w:r>
          </w:p>
        </w:tc>
      </w:tr>
    </w:tbl>
    <w:p>
      <w:pPr>
        <w:sectPr>
          <w:type w:val="nextPage"/>
          <w:pgSz w:w="11906" w:h="16838"/>
          <w:pgMar w:left="851" w:right="567" w:gutter="0" w:header="0" w:top="851" w:footer="0" w:bottom="284"/>
          <w:pgNumType w:start="1" w:fmt="decimal"/>
          <w:formProt w:val="false"/>
          <w:textDirection w:val="lrTb"/>
          <w:docGrid w:type="default" w:linePitch="299" w:charSpace="0"/>
        </w:sectPr>
        <w:pStyle w:val="Style18"/>
        <w:widowControl w:val="false"/>
        <w:autoSpaceDE w:val="false"/>
        <w:spacing w:lineRule="auto" w:line="240" w:before="0" w:after="0"/>
        <w:ind w:start="927" w:end="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Style18"/>
        <w:widowControl w:val="false"/>
        <w:numPr>
          <w:ilvl w:val="0"/>
          <w:numId w:val="1"/>
        </w:numPr>
        <w:autoSpaceDE w:val="false"/>
        <w:spacing w:lineRule="auto" w:line="240" w:before="0" w:after="0"/>
        <w:ind w:firstLine="340" w:start="0" w:end="0"/>
        <w:contextualSpacing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>По результатам рассмотрения и оценки предложений:</w:t>
      </w:r>
    </w:p>
    <w:p>
      <w:pPr>
        <w:pStyle w:val="Normal"/>
        <w:autoSpaceDE w:val="false"/>
        <w:spacing w:lineRule="auto" w:line="240" w:before="0" w:after="0"/>
        <w:ind w:firstLine="340" w:end="0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>11.1.</w:t>
      </w:r>
      <w:r>
        <w:rPr>
          <w:rFonts w:cs="Times New Roman" w:ascii="Times New Roman" w:hAnsi="Times New Roman"/>
          <w:sz w:val="16"/>
          <w:szCs w:val="16"/>
        </w:rPr>
        <w:t xml:space="preserve"> Признать победителем закупки Общество с ограниченной ответственностью «ЭнергоРемНаладка», ИНН: 8602147397, место нахождения: 628401, Ханты-Мансийский автономный округ - Югра, г. Сургут, ул. Мелик-Карамова, д.39, 77.</w:t>
      </w:r>
    </w:p>
    <w:p>
      <w:pPr>
        <w:pStyle w:val="Normal"/>
        <w:spacing w:before="0" w:after="0"/>
        <w:ind w:firstLine="340" w:end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>11.2.</w:t>
      </w:r>
      <w:r>
        <w:rPr>
          <w:rFonts w:cs="Times New Roman" w:ascii="Times New Roman" w:hAnsi="Times New Roman"/>
          <w:sz w:val="16"/>
          <w:szCs w:val="16"/>
        </w:rPr>
        <w:t xml:space="preserve"> Заключить договор с Победителем по цене договора, предложенной Победителем: 145 000 (Сто сорок пять тысяч) рублей 00 копеек,               НДС не облагается.</w:t>
      </w:r>
    </w:p>
    <w:p>
      <w:pPr>
        <w:pStyle w:val="Normal"/>
        <w:spacing w:before="0" w:after="0"/>
        <w:ind w:firstLine="340" w:end="0"/>
        <w:jc w:val="both"/>
        <w:rPr/>
      </w:pPr>
      <w:r>
        <w:rPr>
          <w:rFonts w:cs="Times New Roman" w:ascii="Times New Roman" w:hAnsi="Times New Roman"/>
          <w:b/>
          <w:bCs/>
          <w:sz w:val="16"/>
          <w:szCs w:val="16"/>
        </w:rPr>
        <w:t>11.3.</w:t>
      </w:r>
      <w:r>
        <w:rPr>
          <w:rFonts w:cs="Times New Roman" w:ascii="Times New Roman" w:hAnsi="Times New Roman"/>
          <w:sz w:val="16"/>
          <w:szCs w:val="16"/>
        </w:rPr>
        <w:t xml:space="preserve"> Объем и срок исполнения по договору: в соответствии с проектом договора (раздел V «Проект договора» Извещения) и техническим заданием (раздел IV «Техническое задание» Извещения).</w:t>
      </w:r>
    </w:p>
    <w:p>
      <w:pPr>
        <w:pStyle w:val="Style18"/>
        <w:widowControl w:val="false"/>
        <w:numPr>
          <w:ilvl w:val="0"/>
          <w:numId w:val="1"/>
        </w:numPr>
        <w:autoSpaceDE w:val="false"/>
        <w:spacing w:lineRule="auto" w:line="240" w:before="0" w:after="0"/>
        <w:ind w:firstLine="340" w:start="0" w:end="0"/>
        <w:contextualSpacing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>
        <w:rPr/>
        <w:t>Подписи членов Комиссии по закупкам:</w:t>
      </w:r>
    </w:p>
    <w:tbl>
      <w:tblPr>
        <w:tblW w:w="49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99"/>
        <w:gridCol w:w="4979"/>
      </w:tblGrid>
      <w:tr>
        <w:trPr/>
        <w:tc>
          <w:tcPr>
            <w:tcW w:w="5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"ЗА"</w:t>
            </w:r>
          </w:p>
        </w:tc>
        <w:tc>
          <w:tcPr>
            <w:tcW w:w="4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"ПРОТИВ"</w:t>
            </w:r>
          </w:p>
        </w:tc>
      </w:tr>
      <w:tr>
        <w:trPr/>
        <w:tc>
          <w:tcPr>
            <w:tcW w:w="5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4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0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vanish/>
          <w:sz w:val="16"/>
          <w:szCs w:val="16"/>
        </w:rPr>
      </w:pPr>
      <w:r>
        <w:rPr>
          <w:rFonts w:cs="Times New Roman" w:ascii="Times New Roman" w:hAnsi="Times New Roman"/>
          <w:vanish/>
          <w:sz w:val="16"/>
          <w:szCs w:val="16"/>
        </w:rPr>
      </w:r>
    </w:p>
    <w:tbl>
      <w:tblPr>
        <w:tblW w:w="5000" w:type="pct"/>
        <w:jc w:val="start"/>
        <w:tblInd w:w="0" w:type="dxa"/>
        <w:tblLayout w:type="fixed"/>
        <w:tblCellMar>
          <w:top w:w="30" w:type="dxa"/>
          <w:start w:w="30" w:type="dxa"/>
          <w:bottom w:w="30" w:type="dxa"/>
          <w:end w:w="30" w:type="dxa"/>
        </w:tblCellMar>
      </w:tblPr>
      <w:tblGrid>
        <w:gridCol w:w="3209"/>
        <w:gridCol w:w="4056"/>
        <w:gridCol w:w="3223"/>
      </w:tblGrid>
      <w:tr>
        <w:trPr>
          <w:trHeight w:val="190" w:hRule="atLeast"/>
        </w:trPr>
        <w:tc>
          <w:tcPr>
            <w:tcW w:w="32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Члены комиссии</w:t>
            </w:r>
          </w:p>
        </w:tc>
        <w:tc>
          <w:tcPr>
            <w:tcW w:w="40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Ф. И. О.</w:t>
            </w:r>
          </w:p>
        </w:tc>
        <w:tc>
          <w:tcPr>
            <w:tcW w:w="3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Подпись</w:t>
            </w:r>
          </w:p>
        </w:tc>
      </w:tr>
      <w:tr>
        <w:trPr>
          <w:trHeight w:val="190" w:hRule="atLeast"/>
        </w:trPr>
        <w:tc>
          <w:tcPr>
            <w:tcW w:w="32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40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Юркин Василий Николаевич</w:t>
            </w:r>
          </w:p>
        </w:tc>
        <w:tc>
          <w:tcPr>
            <w:tcW w:w="3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90" w:hRule="atLeast"/>
        </w:trPr>
        <w:tc>
          <w:tcPr>
            <w:tcW w:w="32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40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Бегичев Виталий Васильевич</w:t>
            </w:r>
          </w:p>
        </w:tc>
        <w:tc>
          <w:tcPr>
            <w:tcW w:w="3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90" w:hRule="atLeast"/>
        </w:trPr>
        <w:tc>
          <w:tcPr>
            <w:tcW w:w="32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40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Стратий Сергей Федорович</w:t>
            </w:r>
          </w:p>
        </w:tc>
        <w:tc>
          <w:tcPr>
            <w:tcW w:w="3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90" w:hRule="atLeast"/>
        </w:trPr>
        <w:tc>
          <w:tcPr>
            <w:tcW w:w="32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40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Стебенева Марина Валерьевна</w:t>
            </w:r>
          </w:p>
        </w:tc>
        <w:tc>
          <w:tcPr>
            <w:tcW w:w="3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90" w:hRule="atLeast"/>
        </w:trPr>
        <w:tc>
          <w:tcPr>
            <w:tcW w:w="32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40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Седавных Михаил Анатольевич</w:t>
            </w:r>
          </w:p>
        </w:tc>
        <w:tc>
          <w:tcPr>
            <w:tcW w:w="3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90" w:hRule="atLeast"/>
        </w:trPr>
        <w:tc>
          <w:tcPr>
            <w:tcW w:w="32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40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Шарапова Елена Викторовна </w:t>
            </w:r>
          </w:p>
        </w:tc>
        <w:tc>
          <w:tcPr>
            <w:tcW w:w="3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90" w:hRule="atLeast"/>
        </w:trPr>
        <w:tc>
          <w:tcPr>
            <w:tcW w:w="32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40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Шкилёв Борис Павлович  </w:t>
            </w:r>
          </w:p>
        </w:tc>
        <w:tc>
          <w:tcPr>
            <w:tcW w:w="3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tbl>
      <w:tblPr>
        <w:tblW w:w="49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16"/>
        <w:gridCol w:w="2623"/>
        <w:gridCol w:w="2623"/>
        <w:gridCol w:w="2516"/>
      </w:tblGrid>
      <w:tr>
        <w:trPr>
          <w:trHeight w:val="1418" w:hRule="exact"/>
        </w:trPr>
        <w:tc>
          <w:tcPr>
            <w:tcW w:w="2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0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</w:tc>
        <w:tc>
          <w:tcPr>
            <w:tcW w:w="2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0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</w:tc>
        <w:tc>
          <w:tcPr>
            <w:tcW w:w="2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0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</w:tc>
        <w:tc>
          <w:tcPr>
            <w:tcW w:w="2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0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</w:tc>
      </w:tr>
      <w:tr>
        <w:trPr>
          <w:trHeight w:val="1418" w:hRule="exact"/>
        </w:trPr>
        <w:tc>
          <w:tcPr>
            <w:tcW w:w="2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0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</w:tc>
        <w:tc>
          <w:tcPr>
            <w:tcW w:w="2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0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</w:tc>
        <w:tc>
          <w:tcPr>
            <w:tcW w:w="2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0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</w:tc>
        <w:tc>
          <w:tcPr>
            <w:tcW w:w="2516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0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sectPr>
      <w:type w:val="nextPage"/>
      <w:pgSz w:w="11906" w:h="16838"/>
      <w:pgMar w:left="851" w:right="567" w:gutter="0" w:header="0" w:top="851" w:footer="0" w:bottom="284"/>
      <w:pgNumType w:start="1"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928" w:hanging="360"/>
      </w:pPr>
      <w:rPr>
        <w:sz w:val="16"/>
        <w:b/>
        <w:szCs w:val="16"/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927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287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287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647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647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2007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2007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367" w:hanging="180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  <w:b/>
      <w:sz w:val="26"/>
      <w:szCs w:val="26"/>
    </w:rPr>
  </w:style>
  <w:style w:type="character" w:styleId="WW8Num1z1">
    <w:name w:val="WW8Num1z1"/>
    <w:qFormat/>
    <w:rPr>
      <w:b/>
    </w:rPr>
  </w:style>
  <w:style w:type="character" w:styleId="WW8Num1z2">
    <w:name w:val="WW8Num1z2"/>
    <w:qFormat/>
    <w:rPr/>
  </w:style>
  <w:style w:type="character" w:styleId="WW8Num2z0">
    <w:name w:val="WW8Num2z0"/>
    <w:qFormat/>
    <w:rPr>
      <w:rFonts w:ascii="Times New Roman" w:hAnsi="Times New Roman" w:cs="Times New Roman"/>
      <w:b w:val="false"/>
      <w:sz w:val="16"/>
      <w:szCs w:val="16"/>
    </w:rPr>
  </w:style>
  <w:style w:type="character" w:styleId="WW8Num2z1">
    <w:name w:val="WW8Num2z1"/>
    <w:qFormat/>
    <w:rPr>
      <w:b w:val="false"/>
    </w:rPr>
  </w:style>
  <w:style w:type="character" w:styleId="WW8Num2z2">
    <w:name w:val="WW8Num2z2"/>
    <w:qFormat/>
    <w:rPr/>
  </w:style>
  <w:style w:type="character" w:styleId="WW8Num3z0">
    <w:name w:val="WW8Num3z0"/>
    <w:qFormat/>
    <w:rPr>
      <w:b w:val="false"/>
    </w:rPr>
  </w:style>
  <w:style w:type="character" w:styleId="WW8Num3z1">
    <w:name w:val="WW8Num3z1"/>
    <w:qFormat/>
    <w:rPr/>
  </w:style>
  <w:style w:type="character" w:styleId="WW8Num4z0">
    <w:name w:val="WW8Num4z0"/>
    <w:qFormat/>
    <w:rPr>
      <w:sz w:val="24"/>
    </w:rPr>
  </w:style>
  <w:style w:type="character" w:styleId="WW8Num4z1">
    <w:name w:val="WW8Num4z1"/>
    <w:qFormat/>
    <w:rPr/>
  </w:style>
  <w:style w:type="character" w:styleId="WW8Num5z0">
    <w:name w:val="WW8Num5z0"/>
    <w:qFormat/>
    <w:rPr>
      <w:sz w:val="24"/>
    </w:rPr>
  </w:style>
  <w:style w:type="character" w:styleId="WW8Num5z1">
    <w:name w:val="WW8Num5z1"/>
    <w:qFormat/>
    <w:rPr/>
  </w:style>
  <w:style w:type="character" w:styleId="WW8Num6z0">
    <w:name w:val="WW8Num6z0"/>
    <w:qFormat/>
    <w:rPr>
      <w:rFonts w:ascii="Times New Roman" w:hAnsi="Times New Roman" w:cs="Times New Roman"/>
      <w:b w:val="false"/>
      <w:sz w:val="24"/>
    </w:rPr>
  </w:style>
  <w:style w:type="character" w:styleId="WW8Num6z1">
    <w:name w:val="WW8Num6z1"/>
    <w:qFormat/>
    <w:rPr/>
  </w:style>
  <w:style w:type="character" w:styleId="WW8Num7z0">
    <w:name w:val="WW8Num7z0"/>
    <w:qFormat/>
    <w:rPr>
      <w:rFonts w:ascii="Times New Roman" w:hAnsi="Times New Roman" w:cs="Times New Roman"/>
      <w:b/>
      <w:sz w:val="24"/>
    </w:rPr>
  </w:style>
  <w:style w:type="character" w:styleId="WW8Num8z0">
    <w:name w:val="WW8Num8z0"/>
    <w:qFormat/>
    <w:rPr>
      <w:rFonts w:ascii="Times New Roman" w:hAnsi="Times New Roman" w:cs="Times New Roman"/>
      <w:b/>
      <w:sz w:val="16"/>
      <w:szCs w:val="16"/>
    </w:rPr>
  </w:style>
  <w:style w:type="character" w:styleId="WW8Num8z1">
    <w:name w:val="WW8Num8z1"/>
    <w:qFormat/>
    <w:rPr>
      <w:b/>
    </w:rPr>
  </w:style>
  <w:style w:type="character" w:styleId="WW8Num8z2">
    <w:name w:val="WW8Num8z2"/>
    <w:qFormat/>
    <w:rPr/>
  </w:style>
  <w:style w:type="character" w:styleId="WW8Num9z0">
    <w:name w:val="WW8Num9z0"/>
    <w:qFormat/>
    <w:rPr>
      <w:rFonts w:ascii="Times New Roman" w:hAnsi="Times New Roman" w:cs="Times New Roman"/>
      <w:b w:val="false"/>
      <w:sz w:val="24"/>
      <w:szCs w:val="24"/>
    </w:rPr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qFormat/>
    <w:rPr>
      <w:sz w:val="22"/>
      <w:szCs w:val="22"/>
    </w:rPr>
  </w:style>
  <w:style w:type="character" w:styleId="Style16">
    <w:name w:val="Нижний колонтитул Знак"/>
    <w:qFormat/>
    <w:rPr>
      <w:sz w:val="22"/>
      <w:szCs w:val="22"/>
    </w:rPr>
  </w:style>
  <w:style w:type="character" w:styleId="Hyperlink">
    <w:name w:val="Hyperlink"/>
    <w:rPr>
      <w:color w:val="0000FF"/>
      <w:u w:val="single"/>
    </w:rPr>
  </w:style>
  <w:style w:type="character" w:styleId="Style17">
    <w:name w:val="Текст выноски Знак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8">
    <w:name w:val="Абзац списка"/>
    <w:basedOn w:val="Normal"/>
    <w:qFormat/>
    <w:pPr>
      <w:spacing w:before="0" w:after="200"/>
      <w:ind w:hanging="0" w:start="720" w:end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en-US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Style19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Style20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2019-03-26T06:05:00Z</dcterms:created>
  <dc:creator>paggard</dc:creator>
  <dc:description/>
  <cp:keywords/>
  <dc:language>en-US</dc:language>
  <cp:lastModifiedBy>Борис Шкилев</cp:lastModifiedBy>
  <cp:lastPrinted>2025-12-12T16:22:00Z</cp:lastPrinted>
  <dcterms:modified xsi:type="dcterms:W3CDTF">2025-12-15T04:53:00Z</dcterms:modified>
  <cp:revision>130</cp:revision>
  <dc:subject/>
  <dc:title>Paggard</dc:title>
</cp:coreProperties>
</file>