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  <w:t>ПРОТОКОЛ</w:t>
      </w:r>
    </w:p>
    <w:p>
      <w:pPr>
        <w:pStyle w:val="Normal"/>
        <w:jc w:val="center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</w:rPr>
        <w:t xml:space="preserve">заседания Закупочной комиссии </w:t>
      </w:r>
      <w:bookmarkStart w:id="0" w:name="_Hlk127443792"/>
      <w:r>
        <w:rPr>
          <w:rFonts w:cs="Liberation Serif" w:ascii="Liberation Serif" w:hAnsi="Liberation Serif"/>
        </w:rPr>
        <w:t>по выбору Победителя закупки</w:t>
      </w:r>
      <w:bookmarkEnd w:id="0"/>
    </w:p>
    <w:p>
      <w:pPr>
        <w:pStyle w:val="Normal"/>
        <w:spacing w:before="240" w:after="0"/>
        <w:jc w:val="center"/>
        <w:rPr/>
      </w:pPr>
      <w:r>
        <w:rPr>
          <w:rFonts w:cs="Liberation Serif" w:ascii="Liberation Serif" w:hAnsi="Liberation Serif"/>
          <w:b/>
        </w:rPr>
        <w:t>г. </w:t>
      </w:r>
      <w:r>
        <w:rPr/>
        <w:t>Москва</w:t>
      </w:r>
    </w:p>
    <w:tbl>
      <w:tblPr>
        <w:tblW w:w="101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77"/>
        <w:gridCol w:w="6096"/>
      </w:tblGrid>
      <w:tr>
        <w:trPr/>
        <w:tc>
          <w:tcPr>
            <w:tcW w:w="407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Номер Протокола:</w:t>
            </w:r>
          </w:p>
        </w:tc>
        <w:tc>
          <w:tcPr>
            <w:tcW w:w="609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>
                <w:rFonts w:cs="Liberation Serif" w:ascii="Liberation Serif" w:hAnsi="Liberation Serif"/>
              </w:rPr>
              <w:t>№ </w:t>
            </w:r>
            <w:r>
              <w:rPr>
                <w:rFonts w:cs="Liberation Serif" w:ascii="Liberation Serif" w:hAnsi="Liberation Serif"/>
              </w:rPr>
              <w:t>220835/ОК-ПВП</w:t>
            </w:r>
          </w:p>
        </w:tc>
      </w:tr>
      <w:tr>
        <w:trPr/>
        <w:tc>
          <w:tcPr>
            <w:tcW w:w="407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Способ закупки</w:t>
            </w:r>
          </w:p>
        </w:tc>
        <w:tc>
          <w:tcPr>
            <w:tcW w:w="609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Открытый конкурс в электронной форме</w:t>
            </w:r>
          </w:p>
        </w:tc>
      </w:tr>
      <w:tr>
        <w:trPr/>
        <w:tc>
          <w:tcPr>
            <w:tcW w:w="407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Предмет закупки</w:t>
            </w:r>
          </w:p>
        </w:tc>
        <w:tc>
          <w:tcPr>
            <w:tcW w:w="609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Style33"/>
              <w:numPr>
                <w:ilvl w:val="0"/>
                <w:numId w:val="0"/>
              </w:numPr>
              <w:tabs>
                <w:tab w:val="clear" w:pos="708"/>
                <w:tab w:val="left" w:pos="1440" w:leader="none"/>
              </w:tabs>
              <w:spacing w:before="60" w:after="60"/>
              <w:ind w:hanging="0" w:start="0" w:end="0"/>
              <w:contextualSpacing w:val="false"/>
              <w:jc w:val="both"/>
              <w:outlineLvl w:val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 xml:space="preserve">Техническое обслуживание и ремонт ПТК для Приморской ТЭС АО </w:t>
            </w:r>
            <w:r>
              <w:rPr>
                <w:rFonts w:cs="Liberation Serif" w:ascii="Liberation Serif" w:hAnsi="Liberation Serif"/>
                <w:spacing w:val="-6"/>
              </w:rPr>
              <w:t>«Интер РАО - Электрогенерация»</w:t>
            </w:r>
          </w:p>
        </w:tc>
      </w:tr>
      <w:tr>
        <w:trPr/>
        <w:tc>
          <w:tcPr>
            <w:tcW w:w="407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Дата/время проведения заседания:</w:t>
            </w:r>
          </w:p>
        </w:tc>
        <w:tc>
          <w:tcPr>
            <w:tcW w:w="609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«12» декабря 2025г. 10:00 (</w:t>
            </w:r>
            <w:r>
              <w:rPr>
                <w:rFonts w:cs="Liberation Serif" w:ascii="Liberation Serif" w:hAnsi="Liberation Serif"/>
                <w:i/>
                <w:sz w:val="22"/>
                <w:szCs w:val="22"/>
              </w:rPr>
              <w:t>по московскому времени)</w:t>
            </w:r>
          </w:p>
        </w:tc>
      </w:tr>
      <w:tr>
        <w:trPr/>
        <w:tc>
          <w:tcPr>
            <w:tcW w:w="407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Дата подписания протокола</w:t>
            </w:r>
          </w:p>
        </w:tc>
        <w:tc>
          <w:tcPr>
            <w:tcW w:w="609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>
                <w:rFonts w:cs="Liberation Serif" w:ascii="Liberation Serif" w:hAnsi="Liberation Serif"/>
              </w:rPr>
              <w:t>«12» декабря 2025г.</w:t>
            </w:r>
          </w:p>
        </w:tc>
      </w:tr>
      <w:tr>
        <w:trPr/>
        <w:tc>
          <w:tcPr>
            <w:tcW w:w="407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Начальная (максимальная) цена:</w:t>
            </w:r>
          </w:p>
        </w:tc>
        <w:tc>
          <w:tcPr>
            <w:tcW w:w="609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color w:val="548DD4"/>
              </w:rPr>
            </w:pPr>
            <w:r>
              <w:rPr>
                <w:rFonts w:cs="Liberation Serif" w:ascii="Liberation Serif" w:hAnsi="Liberation Serif"/>
              </w:rPr>
              <w:t xml:space="preserve">8 446 979,17 </w:t>
            </w:r>
            <w:r>
              <w:rPr>
                <w:rStyle w:val="FontStyle128"/>
                <w:rFonts w:cs="Liberation Serif" w:ascii="Liberation Serif" w:hAnsi="Liberation Serif"/>
                <w:sz w:val="24"/>
                <w:szCs w:val="24"/>
              </w:rPr>
              <w:t>руб. без НДС</w:t>
            </w:r>
          </w:p>
        </w:tc>
      </w:tr>
      <w:tr>
        <w:trPr/>
        <w:tc>
          <w:tcPr>
            <w:tcW w:w="407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Участниками могут быть только субъекты МСП</w:t>
            </w:r>
          </w:p>
        </w:tc>
        <w:tc>
          <w:tcPr>
            <w:tcW w:w="609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нет</w:t>
            </w:r>
          </w:p>
        </w:tc>
      </w:tr>
      <w:tr>
        <w:trPr/>
        <w:tc>
          <w:tcPr>
            <w:tcW w:w="407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Объем, цена закупаемых товаров, работ, услуг, срок исполнения договора</w:t>
            </w:r>
          </w:p>
        </w:tc>
        <w:tc>
          <w:tcPr>
            <w:tcW w:w="609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В соответствии с Закупочной документацией</w:t>
            </w:r>
          </w:p>
        </w:tc>
      </w:tr>
    </w:tbl>
    <w:p>
      <w:pPr>
        <w:pStyle w:val="Normal"/>
        <w:spacing w:before="120" w:after="120"/>
        <w:ind w:firstLine="709" w:end="0"/>
        <w:rPr/>
      </w:pPr>
      <w:bookmarkStart w:id="1" w:name="_Hlk127443833"/>
      <w:bookmarkEnd w:id="1"/>
      <w:r>
        <w:rPr>
          <w:rFonts w:cs="Liberation Serif" w:ascii="Liberation Serif" w:hAnsi="Liberation Serif"/>
          <w:b/>
        </w:rPr>
        <w:t>ВОПРОСЫ ЗАСЕДАНИЯ ЗАКУПОЧНОЙ КОМИССИИ:</w:t>
      </w:r>
    </w:p>
    <w:p>
      <w:pPr>
        <w:pStyle w:val="Normal"/>
        <w:widowControl w:val="false"/>
        <w:spacing w:before="120" w:after="120"/>
        <w:jc w:val="both"/>
        <w:rPr/>
      </w:pPr>
      <w:r>
        <w:rPr/>
        <w:t>На участие в закупке было подано:</w:t>
      </w:r>
    </w:p>
    <w:tbl>
      <w:tblPr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"/>
        <w:gridCol w:w="4114"/>
        <w:gridCol w:w="5387"/>
      </w:tblGrid>
      <w:tr>
        <w:trPr>
          <w:tblHeader w:val="true"/>
          <w:trHeight w:val="473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№</w:t>
            </w:r>
          </w:p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п/п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Порядковый номер Участника</w:t>
            </w:r>
          </w:p>
        </w:tc>
        <w:tc>
          <w:tcPr>
            <w:tcW w:w="5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Дата и время регистрации заявки</w:t>
            </w:r>
          </w:p>
        </w:tc>
      </w:tr>
      <w:tr>
        <w:trPr>
          <w:tblHeader w:val="true"/>
          <w:trHeight w:val="275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ind w:start="34" w:end="0"/>
              <w:jc w:val="center"/>
              <w:rPr>
                <w:rFonts w:ascii="Liberation Serif" w:hAnsi="Liberation Serif" w:cs="Liberation Serif"/>
                <w:i/>
                <w:i/>
                <w:sz w:val="18"/>
                <w:szCs w:val="18"/>
              </w:rPr>
            </w:pPr>
            <w:r>
              <w:rPr>
                <w:rFonts w:cs="Liberation Serif" w:ascii="Liberation Serif" w:hAnsi="Liberation Serif"/>
                <w:i/>
                <w:sz w:val="18"/>
                <w:szCs w:val="18"/>
              </w:rPr>
              <w:t>1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rFonts w:ascii="Liberation Serif" w:hAnsi="Liberation Serif" w:cs="Liberation Serif"/>
                <w:i/>
                <w:i/>
                <w:sz w:val="18"/>
                <w:szCs w:val="18"/>
              </w:rPr>
            </w:pPr>
            <w:r>
              <w:rPr>
                <w:rFonts w:cs="Liberation Serif" w:ascii="Liberation Serif" w:hAnsi="Liberation Serif"/>
                <w:i/>
                <w:sz w:val="18"/>
                <w:szCs w:val="18"/>
              </w:rPr>
              <w:t>2</w:t>
            </w:r>
          </w:p>
        </w:tc>
        <w:tc>
          <w:tcPr>
            <w:tcW w:w="5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rFonts w:ascii="Liberation Serif" w:hAnsi="Liberation Serif" w:cs="Liberation Serif"/>
                <w:i/>
                <w:i/>
                <w:sz w:val="18"/>
                <w:szCs w:val="18"/>
              </w:rPr>
            </w:pPr>
            <w:r>
              <w:rPr>
                <w:rFonts w:cs="Liberation Serif" w:ascii="Liberation Serif" w:hAnsi="Liberation Serif"/>
                <w:i/>
                <w:sz w:val="18"/>
                <w:szCs w:val="18"/>
              </w:rPr>
              <w:t>3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8440" w:leader="none"/>
              </w:tabs>
              <w:snapToGrid w:val="false"/>
              <w:spacing w:lineRule="auto" w:line="360"/>
              <w:ind w:hanging="0" w:start="0" w:end="0"/>
              <w:jc w:val="both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  <w:i/>
                <w:sz w:val="18"/>
                <w:szCs w:val="18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Участник №1</w:t>
            </w:r>
          </w:p>
        </w:tc>
        <w:tc>
          <w:tcPr>
            <w:tcW w:w="538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cs="Liberation Serif"/>
                <w:u w:val="single"/>
              </w:rPr>
            </w:pPr>
            <w:r>
              <w:rPr>
                <w:rFonts w:cs="Liberation Serif" w:ascii="Liberation Serif" w:hAnsi="Liberation Serif"/>
                <w:u w:val="single"/>
              </w:rPr>
              <w:t>Дата и время регистрации заявки:</w:t>
            </w:r>
          </w:p>
          <w:p>
            <w:pPr>
              <w:pStyle w:val="Normal"/>
              <w:jc w:val="both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14.11.2025 17:14:27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8440" w:leader="none"/>
              </w:tabs>
              <w:snapToGrid w:val="false"/>
              <w:spacing w:lineRule="auto" w:line="360"/>
              <w:ind w:hanging="0" w:start="0" w:end="0"/>
              <w:jc w:val="both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Участник №2*</w:t>
            </w:r>
          </w:p>
        </w:tc>
        <w:tc>
          <w:tcPr>
            <w:tcW w:w="5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cs="Liberation Serif"/>
                <w:u w:val="single"/>
              </w:rPr>
            </w:pPr>
            <w:r>
              <w:rPr>
                <w:rFonts w:cs="Liberation Serif" w:ascii="Liberation Serif" w:hAnsi="Liberation Serif"/>
                <w:u w:val="single"/>
              </w:rPr>
              <w:t>Дата и время регистрации заявки:</w:t>
            </w:r>
          </w:p>
          <w:p>
            <w:pPr>
              <w:pStyle w:val="Normal"/>
              <w:jc w:val="both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24.11.2025 11:43:22</w:t>
            </w:r>
          </w:p>
        </w:tc>
      </w:tr>
    </w:tbl>
    <w:p>
      <w:pPr>
        <w:pStyle w:val="Normal"/>
        <w:jc w:val="both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i/>
          <w:sz w:val="20"/>
          <w:szCs w:val="20"/>
        </w:rPr>
        <w:t>*заявка участника №2 была отклонена на этапе оценки заявок на участие в закупке</w:t>
      </w:r>
      <w:r>
        <w:rPr>
          <w:rFonts w:cs="Liberation Serif" w:ascii="Liberation Serif" w:hAnsi="Liberation Serif"/>
          <w:bCs/>
        </w:rPr>
        <w:t xml:space="preserve">       </w:t>
      </w:r>
    </w:p>
    <w:p>
      <w:pPr>
        <w:pStyle w:val="Normal"/>
        <w:spacing w:before="120" w:after="120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  <w:t>Вопрос 1 повестки:</w:t>
      </w:r>
    </w:p>
    <w:p>
      <w:pPr>
        <w:pStyle w:val="Normal"/>
        <w:widowControl w:val="false"/>
        <w:spacing w:before="120" w:after="120"/>
        <w:ind w:firstLine="709" w:end="0"/>
        <w:jc w:val="both"/>
        <w:rPr/>
      </w:pPr>
      <w:r>
        <w:rPr>
          <w:rFonts w:cs="Liberation Serif" w:ascii="Liberation Serif" w:hAnsi="Liberation Serif"/>
        </w:rPr>
        <w:t>Об одобрении Сводного отчета Экспертной группы по оценке заявок.</w:t>
      </w:r>
    </w:p>
    <w:p>
      <w:pPr>
        <w:pStyle w:val="Normal"/>
        <w:widowControl w:val="false"/>
        <w:spacing w:before="120" w:after="120"/>
        <w:ind w:firstLine="709" w:end="0"/>
        <w:jc w:val="both"/>
        <w:rPr/>
      </w:pPr>
      <w:r>
        <w:rPr>
          <w:rFonts w:cs="Liberation Serif" w:ascii="Liberation Serif" w:hAnsi="Liberation Serif"/>
        </w:rPr>
        <w:t>Члены Закупочной комиссии изучили поступившие заявки. Результаты оценки сведены в Сводный отчет Экспертной группы по оценке заявок (приложение № 1).</w:t>
      </w:r>
    </w:p>
    <w:p>
      <w:pPr>
        <w:pStyle w:val="Normal"/>
        <w:widowControl w:val="false"/>
        <w:spacing w:before="120" w:after="120"/>
        <w:ind w:firstLine="709" w:end="0"/>
        <w:jc w:val="both"/>
        <w:rPr>
          <w:rFonts w:ascii="Liberation Serif" w:hAnsi="Liberation Serif" w:cs="Liberation Serif"/>
          <w:i/>
          <w:i/>
          <w:color w:val="FF0000"/>
        </w:rPr>
      </w:pPr>
      <w:r>
        <w:rPr>
          <w:rFonts w:cs="Liberation Serif" w:ascii="Liberation Serif" w:hAnsi="Liberation Serif"/>
        </w:rPr>
        <w:t xml:space="preserve">Закупочной комиссии предлагается одобрить Сводный отчет Экспертной группы по оценке заявок </w:t>
      </w:r>
    </w:p>
    <w:p>
      <w:pPr>
        <w:pStyle w:val="Normal"/>
        <w:spacing w:before="120" w:after="120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  <w:t xml:space="preserve">Вопрос 2 повестки: </w:t>
      </w:r>
    </w:p>
    <w:p>
      <w:pPr>
        <w:pStyle w:val="Normal"/>
        <w:widowControl w:val="false"/>
        <w:ind w:firstLine="709" w:end="0"/>
        <w:jc w:val="both"/>
        <w:rPr>
          <w:rFonts w:ascii="Liberation Serif" w:hAnsi="Liberation Serif" w:cs="Liberation Serif"/>
          <w:b/>
        </w:rPr>
      </w:pPr>
      <w:bookmarkStart w:id="2" w:name="_Hlk91151526"/>
      <w:r>
        <w:rPr>
          <w:rFonts w:cs="Liberation Serif" w:ascii="Liberation Serif" w:hAnsi="Liberation Serif"/>
        </w:rPr>
        <w:t xml:space="preserve">Предлагается признать заявки участников удовлетворяющими требованиям закупки и утвердить итоговое ранжирование в соответствии со Сводным отчетом Экспертной группы (приложение № 1) </w:t>
      </w:r>
      <w:bookmarkStart w:id="3" w:name="_Hlk94100168"/>
      <w:bookmarkEnd w:id="2"/>
    </w:p>
    <w:p>
      <w:pPr>
        <w:pStyle w:val="Normal"/>
        <w:widowControl w:val="false"/>
        <w:ind w:firstLine="709" w:end="0"/>
        <w:jc w:val="both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</w:rPr>
        <w:t>Признать победителем участника, занявшего первое место, согласно итоговому ранжированию без учета его протокола разногласий к проекту договора.</w:t>
      </w:r>
    </w:p>
    <w:p>
      <w:pPr>
        <w:pStyle w:val="Normal"/>
        <w:widowControl w:val="false"/>
        <w:spacing w:before="120" w:after="120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</w:r>
      <w:bookmarkEnd w:id="3"/>
    </w:p>
    <w:p>
      <w:pPr>
        <w:pStyle w:val="Normal"/>
        <w:widowControl w:val="false"/>
        <w:spacing w:before="120" w:after="120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  <w:t>Вопрос 3 повестки:</w:t>
      </w:r>
      <w:r>
        <w:rPr>
          <w:rFonts w:cs="Liberation Serif" w:ascii="Liberation Serif" w:hAnsi="Liberation Serif"/>
          <w:color w:val="548DD4"/>
        </w:rPr>
        <w:t xml:space="preserve"> </w:t>
      </w:r>
    </w:p>
    <w:p>
      <w:pPr>
        <w:pStyle w:val="Normal"/>
        <w:spacing w:before="120" w:after="120"/>
        <w:ind w:firstLine="709" w:end="0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О возможности проведения преддоговорных переговоров с Победителем.</w:t>
      </w:r>
    </w:p>
    <w:p>
      <w:pPr>
        <w:pStyle w:val="Normal"/>
        <w:spacing w:before="120" w:after="120"/>
        <w:ind w:firstLine="709" w:end="0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В целях уточнения несущественных для Заказчика условий договора, а также улучшения технико-коммерческого предложения победителя допускается проведение преддоговорных переговоров.</w:t>
      </w:r>
    </w:p>
    <w:p>
      <w:pPr>
        <w:pStyle w:val="Normal"/>
        <w:spacing w:before="120" w:after="120"/>
        <w:ind w:firstLine="709" w:end="0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Зафиксировать результат преддоговорных переговоров в окончательных условиях заключаемого договора.</w:t>
      </w:r>
    </w:p>
    <w:p>
      <w:pPr>
        <w:pStyle w:val="Normal"/>
        <w:spacing w:before="120" w:after="120"/>
        <w:ind w:firstLine="709" w:end="0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  <w:t>РЕШИЛИ: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09" w:leader="none"/>
        </w:tabs>
        <w:spacing w:before="120" w:after="0"/>
        <w:ind w:hanging="0" w:start="0" w:end="0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Одобрить Отчет по итоговой оценке заявок.</w:t>
      </w:r>
      <w:bookmarkStart w:id="4" w:name="_Hlk91150090"/>
      <w:bookmarkStart w:id="5" w:name="_Hlk94100201"/>
      <w:bookmarkStart w:id="6" w:name="_Hlk91151398"/>
    </w:p>
    <w:p>
      <w:pPr>
        <w:pStyle w:val="Normal"/>
        <w:numPr>
          <w:ilvl w:val="0"/>
          <w:numId w:val="4"/>
        </w:numPr>
        <w:tabs>
          <w:tab w:val="clear" w:pos="708"/>
          <w:tab w:val="left" w:pos="-2835" w:leader="none"/>
        </w:tabs>
        <w:spacing w:before="120" w:after="0"/>
        <w:ind w:hanging="0" w:start="0" w:end="0"/>
        <w:jc w:val="both"/>
        <w:rPr>
          <w:rFonts w:ascii="Liberation Serif" w:hAnsi="Liberation Serif" w:cs="Liberation Serif"/>
        </w:rPr>
      </w:pPr>
      <w:bookmarkEnd w:id="4"/>
      <w:r>
        <w:rPr>
          <w:rFonts w:cs="Liberation Serif" w:ascii="Liberation Serif" w:hAnsi="Liberation Serif"/>
        </w:rPr>
        <w:t xml:space="preserve">Признать заявки участников удовлетворяющими требованиям закупки и утвердить итоговое ранжирование в соответствии со Сводным отчетом Экспертной группы (приложение № 1). </w:t>
      </w:r>
    </w:p>
    <w:p>
      <w:pPr>
        <w:pStyle w:val="Normal"/>
        <w:tabs>
          <w:tab w:val="clear" w:pos="708"/>
          <w:tab w:val="left" w:pos="-2835" w:leader="none"/>
        </w:tabs>
        <w:spacing w:before="120" w:after="0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Признать победителем участника, занявшего первое место, согласно итоговому ранжированию без учета его протокола разногласий к проекту договора.</w:t>
      </w:r>
      <w:bookmarkEnd w:id="5"/>
    </w:p>
    <w:p>
      <w:pPr>
        <w:pStyle w:val="Normal"/>
        <w:numPr>
          <w:ilvl w:val="0"/>
          <w:numId w:val="4"/>
        </w:numPr>
        <w:tabs>
          <w:tab w:val="clear" w:pos="708"/>
          <w:tab w:val="left" w:pos="709" w:leader="none"/>
        </w:tabs>
        <w:spacing w:before="120" w:after="0"/>
        <w:ind w:hanging="0" w:start="0" w:end="0"/>
        <w:jc w:val="both"/>
        <w:rPr>
          <w:rFonts w:ascii="Liberation Serif" w:hAnsi="Liberation Serif" w:cs="Liberation Serif"/>
        </w:rPr>
      </w:pPr>
      <w:bookmarkStart w:id="7" w:name="_Hlk94100235"/>
      <w:bookmarkStart w:id="8" w:name="_Hlk91153158"/>
      <w:bookmarkEnd w:id="6"/>
      <w:bookmarkEnd w:id="7"/>
      <w:r>
        <w:rPr>
          <w:rFonts w:cs="Liberation Serif" w:ascii="Liberation Serif" w:hAnsi="Liberation Serif"/>
        </w:rPr>
        <w:t>Допускается проведение преддоговорных переговоров с целью уточнения несущественных для Заказчика несущественных условий договора, а также улучшения технико-коммерческого предложения Победителя.</w:t>
      </w:r>
    </w:p>
    <w:p>
      <w:pPr>
        <w:pStyle w:val="Normal"/>
        <w:tabs>
          <w:tab w:val="clear" w:pos="708"/>
          <w:tab w:val="left" w:pos="709" w:leader="none"/>
        </w:tabs>
        <w:spacing w:before="120" w:after="0"/>
        <w:jc w:val="both"/>
        <w:rPr/>
      </w:pPr>
      <w:bookmarkStart w:id="9" w:name="_Hlk91153158"/>
      <w:r>
        <w:rPr>
          <w:rFonts w:cs="Liberation Serif" w:ascii="Liberation Serif" w:hAnsi="Liberation Serif"/>
        </w:rPr>
        <w:t>Зафиксировать результат преддоговорных переговоров в окончательных условиях заключаемого договора и заключить договор на условиях, согласованных Заказчиком и Победителем в рамках проведенных преддоговорных переговоров.</w:t>
      </w:r>
      <w:bookmarkEnd w:id="9"/>
    </w:p>
    <w:p>
      <w:pPr>
        <w:pStyle w:val="Normal"/>
        <w:numPr>
          <w:ilvl w:val="0"/>
          <w:numId w:val="4"/>
        </w:numPr>
        <w:tabs>
          <w:tab w:val="clear" w:pos="708"/>
          <w:tab w:val="left" w:pos="709" w:leader="none"/>
        </w:tabs>
        <w:spacing w:before="120" w:after="0"/>
        <w:ind w:hanging="0" w:start="0" w:end="0"/>
        <w:jc w:val="both"/>
        <w:rPr>
          <w:rFonts w:ascii="Liberation Serif" w:hAnsi="Liberation Serif" w:cs="Liberation Serif"/>
        </w:rPr>
      </w:pPr>
      <w:bookmarkStart w:id="10" w:name="_Hlk94100235"/>
      <w:bookmarkEnd w:id="10"/>
      <w:r>
        <w:rPr>
          <w:rFonts w:cs="Liberation Serif" w:ascii="Liberation Serif" w:hAnsi="Liberation Serif"/>
        </w:rPr>
        <w:t>Победителю предоставить справку о цепочке собственников в соответствии с Гарантийным письмом в сроки, установленные закупочной документацией.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09" w:leader="none"/>
        </w:tabs>
        <w:spacing w:before="120" w:after="0"/>
        <w:ind w:hanging="0" w:start="0" w:end="0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Провести экспертную оценку справки о цепочке собственников, предоставленную Победителем в соответствии с Гарантийным письмом в составе заявки в течение 5 (пяти) рабочих дней.</w:t>
      </w:r>
    </w:p>
    <w:p>
      <w:pPr>
        <w:pStyle w:val="Normal"/>
        <w:numPr>
          <w:ilvl w:val="0"/>
          <w:numId w:val="4"/>
        </w:numPr>
        <w:spacing w:before="120" w:after="0"/>
        <w:ind w:hanging="0" w:start="0" w:end="0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Договор с Победителем будет заключен в срок, установленный Извещением</w:t>
      </w:r>
      <w:r>
        <w:rPr>
          <w:rFonts w:cs="Liberation Serif" w:ascii="Liberation Serif" w:hAnsi="Liberation Serif"/>
          <w:i/>
          <w:color w:val="4F81BD"/>
        </w:rPr>
        <w:t>.</w:t>
      </w:r>
    </w:p>
    <w:p>
      <w:pPr>
        <w:pStyle w:val="Normal"/>
        <w:spacing w:before="120" w:after="0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</w:r>
      <w:bookmarkStart w:id="11" w:name="_Hlk127443833"/>
      <w:bookmarkStart w:id="12" w:name="_Hlk94100254"/>
      <w:bookmarkStart w:id="13" w:name="_Hlk127443833"/>
      <w:bookmarkStart w:id="14" w:name="_Hlk94100254"/>
      <w:bookmarkEnd w:id="13"/>
      <w:bookmarkEnd w:id="14"/>
    </w:p>
    <w:p>
      <w:pPr>
        <w:pStyle w:val="Normal"/>
        <w:spacing w:before="120" w:after="0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</w:r>
    </w:p>
    <w:p>
      <w:pPr>
        <w:pStyle w:val="Normal"/>
        <w:spacing w:before="120" w:after="120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</w:r>
      <w:bookmarkStart w:id="15" w:name="_Hlk94100254"/>
      <w:bookmarkStart w:id="16" w:name="_Hlk94100254"/>
      <w:bookmarkEnd w:id="16"/>
    </w:p>
    <w:sectPr>
      <w:headerReference w:type="default" r:id="rId2"/>
      <w:headerReference w:type="first" r:id="rId3"/>
      <w:type w:val="nextPage"/>
      <w:pgSz w:w="11906" w:h="16838"/>
      <w:pgMar w:left="850" w:right="709" w:gutter="0" w:header="709" w:top="1134" w:footer="0" w:bottom="709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HeliosCond">
    <w:altName w:val="Franklin Gothic Medium Cond"/>
    <w:charset w:val="cc" w:characterSet="windows-125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1907" w:type="dxa"/>
      <w:jc w:val="start"/>
      <w:tblInd w:w="-1026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1907"/>
    </w:tblGrid>
    <w:tr>
      <w:trPr>
        <w:trHeight w:val="991" w:hRule="atLeast"/>
      </w:trPr>
      <w:tc>
        <w:tcPr>
          <w:tcW w:w="11907" w:type="dxa"/>
          <w:tcBorders/>
          <w:vAlign w:val="center"/>
        </w:tcPr>
        <w:p>
          <w:pPr>
            <w:pStyle w:val="Normal"/>
            <w:widowControl w:val="false"/>
            <w:tabs>
              <w:tab w:val="clear" w:pos="708"/>
              <w:tab w:val="left" w:pos="907" w:leader="none"/>
              <w:tab w:val="left" w:pos="8931" w:leader="none"/>
            </w:tabs>
            <w:autoSpaceDE w:val="false"/>
            <w:jc w:val="center"/>
            <w:rPr>
              <w:lang w:eastAsia="en-US"/>
            </w:rPr>
          </w:pPr>
          <w:r>
            <w:rPr>
              <w:lang w:val="en-US" w:eastAsia="en-US"/>
            </w:rPr>
            <w:drawing>
              <wp:inline distT="0" distB="0" distL="0" distR="0">
                <wp:extent cx="2157730" cy="69088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" t="-9" r="-3" b="-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57730" cy="6908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>
      <w:trPr>
        <w:trHeight w:val="707" w:hRule="atLeast"/>
      </w:trPr>
      <w:tc>
        <w:tcPr>
          <w:tcW w:w="11907" w:type="dxa"/>
          <w:tcBorders/>
          <w:vAlign w:val="center"/>
        </w:tcPr>
        <w:p>
          <w:pPr>
            <w:pStyle w:val="Normal"/>
            <w:tabs>
              <w:tab w:val="clear" w:pos="708"/>
              <w:tab w:val="left" w:pos="8931" w:leader="none"/>
            </w:tabs>
            <w:ind w:start="1168" w:end="1167"/>
            <w:jc w:val="center"/>
            <w:rPr>
              <w:rFonts w:ascii="HeliosCond;Franklin Gothic Medium Cond" w:hAnsi="HeliosCond;Franklin Gothic Medium Cond" w:cs="Helios;Gabriola"/>
              <w:color w:val="1F497D"/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Большая Пироговская ул., д. 27, стр. 3, г. Москва, Россия, 119435</w:t>
          </w:r>
        </w:p>
        <w:p>
          <w:pPr>
            <w:pStyle w:val="Normal"/>
            <w:tabs>
              <w:tab w:val="clear" w:pos="708"/>
              <w:tab w:val="left" w:pos="8931" w:leader="none"/>
            </w:tabs>
            <w:jc w:val="center"/>
            <w:rPr>
              <w:rFonts w:ascii="HeliosCond;Franklin Gothic Medium Cond" w:hAnsi="HeliosCond;Franklin Gothic Medium Cond" w:cs="Helios;Gabriola"/>
              <w:color w:val="1F497D"/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Телефон: +7 (495) 664 8840, Факс: +7 (495) 664 8841</w:t>
          </w:r>
        </w:p>
        <w:p>
          <w:pPr>
            <w:pStyle w:val="Normal"/>
            <w:widowControl w:val="false"/>
            <w:tabs>
              <w:tab w:val="clear" w:pos="708"/>
              <w:tab w:val="left" w:pos="8931" w:leader="none"/>
            </w:tabs>
            <w:autoSpaceDE w:val="false"/>
            <w:ind w:start="1168" w:end="1167"/>
            <w:jc w:val="center"/>
            <w:rPr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www.interrao-zakupki.ru</w:t>
          </w:r>
        </w:p>
      </w:tc>
    </w:tr>
  </w:tbl>
  <w:p>
    <w:pPr>
      <w:pStyle w:val="Header"/>
      <w:rPr>
        <w:lang w:val="ru-RU"/>
      </w:rPr>
    </w:pPr>
    <w:r>
      <w:rPr>
        <w:lang w:val="ru-RU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134"/>
        </w:tabs>
        <w:ind w:start="0" w:firstLine="567"/>
      </w:pPr>
      <w:rPr/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  <w:szCs w:val="28"/>
    </w:rPr>
  </w:style>
  <w:style w:type="character" w:styleId="WW8Num2z0">
    <w:name w:val="WW8Num2z0"/>
    <w:qFormat/>
    <w:rPr>
      <w:sz w:val="20"/>
      <w:szCs w:val="20"/>
    </w:rPr>
  </w:style>
  <w:style w:type="character" w:styleId="WW8Num5z0">
    <w:name w:val="WW8Num5z0"/>
    <w:qFormat/>
    <w:rPr>
      <w:rFonts w:ascii="Symbol" w:hAnsi="Symbol" w:cs="Symbol"/>
      <w:color w:val="000000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0z0">
    <w:name w:val="WW8Num10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1z0">
    <w:name w:val="WW8Num11z0"/>
    <w:qFormat/>
    <w:rPr>
      <w:sz w:val="24"/>
      <w:szCs w:val="24"/>
    </w:rPr>
  </w:style>
  <w:style w:type="character" w:styleId="WW8Num11z1">
    <w:name w:val="WW8Num11z1"/>
    <w:qFormat/>
    <w:rPr>
      <w:rFonts w:ascii="Symbol" w:hAnsi="Symbol" w:cs="Symbol"/>
      <w:b w:val="false"/>
      <w:i w:val="false"/>
      <w:sz w:val="24"/>
    </w:rPr>
  </w:style>
  <w:style w:type="character" w:styleId="WW8Num12z0">
    <w:name w:val="WW8Num12z0"/>
    <w:qFormat/>
    <w:rPr>
      <w:rFonts w:ascii="Symbol" w:hAnsi="Symbol" w:cs="Symbol"/>
      <w:b w:val="false"/>
      <w:i w:val="false"/>
      <w:color w:val="000000"/>
      <w:sz w:val="24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4z0">
    <w:name w:val="WW8Num14z0"/>
    <w:qFormat/>
    <w:rPr>
      <w:sz w:val="20"/>
      <w:szCs w:val="20"/>
    </w:rPr>
  </w:style>
  <w:style w:type="character" w:styleId="WW8Num15z0">
    <w:name w:val="WW8Num15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6z0">
    <w:name w:val="WW8Num16z0"/>
    <w:qFormat/>
    <w:rPr/>
  </w:style>
  <w:style w:type="character" w:styleId="WW8Num18z0">
    <w:name w:val="WW8Num18z0"/>
    <w:qFormat/>
    <w:rPr>
      <w:sz w:val="24"/>
      <w:szCs w:val="24"/>
    </w:rPr>
  </w:style>
  <w:style w:type="character" w:styleId="WW8Num18z1">
    <w:name w:val="WW8Num18z1"/>
    <w:qFormat/>
    <w:rPr>
      <w:rFonts w:ascii="Symbol" w:hAnsi="Symbol" w:cs="Symbol"/>
      <w:b w:val="false"/>
      <w:i w:val="false"/>
      <w:sz w:val="24"/>
    </w:rPr>
  </w:style>
  <w:style w:type="character" w:styleId="WW8Num19z0">
    <w:name w:val="WW8Num19z0"/>
    <w:qFormat/>
    <w:rPr>
      <w:sz w:val="20"/>
      <w:szCs w:val="20"/>
    </w:rPr>
  </w:style>
  <w:style w:type="character" w:styleId="WW8Num20z0">
    <w:name w:val="WW8Num20z0"/>
    <w:qFormat/>
    <w:rPr/>
  </w:style>
  <w:style w:type="character" w:styleId="WW8Num20z1">
    <w:name w:val="WW8Num20z1"/>
    <w:qFormat/>
    <w:rPr>
      <w:color w:val="000000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3z1">
    <w:name w:val="WW8Num23z1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24z0">
    <w:name w:val="WW8Num24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8"/>
      <w:sz w:val="28"/>
      <w:szCs w:val="28"/>
      <w:vertAlign w:val="baseline"/>
    </w:rPr>
  </w:style>
  <w:style w:type="character" w:styleId="WW8Num24z1">
    <w:name w:val="WW8Num24z1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8"/>
      <w:vertAlign w:val="baseli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6z0">
    <w:name w:val="WW8Num26z0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Style13">
    <w:name w:val="Основной шрифт абзаца"/>
    <w:qFormat/>
    <w:rPr/>
  </w:style>
  <w:style w:type="character" w:styleId="PageNumber">
    <w:name w:val="page number"/>
    <w:basedOn w:val="Style13"/>
    <w:rPr/>
  </w:style>
  <w:style w:type="character" w:styleId="Style14">
    <w:name w:val="комментарий"/>
    <w:qFormat/>
    <w:rPr>
      <w:b/>
      <w:i/>
      <w:shd w:fill="FFFF99" w:val="clear"/>
    </w:rPr>
  </w:style>
  <w:style w:type="character" w:styleId="Style15">
    <w:name w:val="Комментраий Знак"/>
    <w:qFormat/>
    <w:rPr>
      <w:i/>
      <w:color w:val="3366FF"/>
      <w:sz w:val="28"/>
      <w:szCs w:val="28"/>
      <w:lang w:val="ru-RU" w:bidi="ar-SA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Style17">
    <w:name w:val="Основной текст Знак"/>
    <w:qFormat/>
    <w:rPr>
      <w:sz w:val="24"/>
      <w:szCs w:val="24"/>
    </w:rPr>
  </w:style>
  <w:style w:type="character" w:styleId="Style18">
    <w:name w:val="Основной текст с отступом Знак"/>
    <w:qFormat/>
    <w:rPr>
      <w:sz w:val="24"/>
      <w:szCs w:val="24"/>
    </w:rPr>
  </w:style>
  <w:style w:type="character" w:styleId="2">
    <w:name w:val="Красная строка 2 Знак"/>
    <w:basedOn w:val="Style18"/>
    <w:qFormat/>
    <w:rPr/>
  </w:style>
  <w:style w:type="character" w:styleId="Style19">
    <w:name w:val="Текст сноски Знак"/>
    <w:basedOn w:val="Style13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Style20">
    <w:name w:val="Верхний колонтитул Знак"/>
    <w:qFormat/>
    <w:rPr>
      <w:sz w:val="24"/>
      <w:szCs w:val="24"/>
    </w:rPr>
  </w:style>
  <w:style w:type="character" w:styleId="Style21">
    <w:name w:val="Знак примечания"/>
    <w:qFormat/>
    <w:rPr>
      <w:sz w:val="16"/>
      <w:szCs w:val="16"/>
    </w:rPr>
  </w:style>
  <w:style w:type="character" w:styleId="Style22">
    <w:name w:val="Текст примечания Знак"/>
    <w:basedOn w:val="Style13"/>
    <w:qFormat/>
    <w:rPr/>
  </w:style>
  <w:style w:type="character" w:styleId="Style23">
    <w:name w:val="Тема примечания Знак"/>
    <w:qFormat/>
    <w:rPr>
      <w:b/>
      <w:bCs/>
    </w:rPr>
  </w:style>
  <w:style w:type="character" w:styleId="Style24">
    <w:name w:val="Абзац списка Знак"/>
    <w:qFormat/>
    <w:rPr>
      <w:sz w:val="24"/>
      <w:szCs w:val="24"/>
    </w:rPr>
  </w:style>
  <w:style w:type="character" w:styleId="FontStyle128">
    <w:name w:val="Font Style128"/>
    <w:qFormat/>
    <w:rPr>
      <w:rFonts w:ascii="Times New Roman" w:hAnsi="Times New Roman" w:cs="Times New Roman"/>
      <w:color w:val="000000"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autoSpaceDE w:val="false"/>
      <w:spacing w:before="0" w:after="120"/>
    </w:pPr>
    <w:rPr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5">
    <w:name w:val="Таблица шапка"/>
    <w:basedOn w:val="Normal"/>
    <w:qFormat/>
    <w:pPr>
      <w:keepNext w:val="true"/>
      <w:spacing w:before="40" w:after="40"/>
      <w:ind w:hanging="0" w:start="57" w:end="57"/>
    </w:pPr>
    <w:rPr>
      <w:sz w:val="22"/>
      <w:szCs w:val="20"/>
    </w:rPr>
  </w:style>
  <w:style w:type="paragraph" w:styleId="Style26">
    <w:name w:val="Таблица текст"/>
    <w:basedOn w:val="Normal"/>
    <w:qFormat/>
    <w:pPr>
      <w:spacing w:before="40" w:after="40"/>
      <w:ind w:hanging="0" w:start="57" w:end="57"/>
    </w:pPr>
    <w:rPr>
      <w:szCs w:val="20"/>
    </w:rPr>
  </w:style>
  <w:style w:type="paragraph" w:styleId="Style27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Style28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9">
    <w:name w:val="Обычный (веб)"/>
    <w:basedOn w:val="Normal"/>
    <w:qFormat/>
    <w:pPr>
      <w:spacing w:before="280" w:after="280"/>
    </w:pPr>
    <w:rPr>
      <w:rFonts w:ascii="Arial" w:hAnsi="Arial" w:cs="Arial"/>
      <w:color w:val="283555"/>
      <w:sz w:val="20"/>
      <w:szCs w:val="20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>
      <w:lang w:val="en-US"/>
    </w:rPr>
  </w:style>
  <w:style w:type="paragraph" w:styleId="21">
    <w:name w:val="Красная строка 2"/>
    <w:basedOn w:val="BodyTextIndent"/>
    <w:qFormat/>
    <w:pPr>
      <w:widowControl w:val="false"/>
      <w:autoSpaceDE w:val="false"/>
      <w:spacing w:before="0" w:after="0"/>
      <w:ind w:firstLine="360" w:start="360" w:end="0"/>
    </w:pPr>
    <w:rPr/>
  </w:style>
  <w:style w:type="paragraph" w:styleId="FootnoteText">
    <w:name w:val="footnote text"/>
    <w:basedOn w:val="Normal"/>
    <w:pPr>
      <w:widowControl w:val="false"/>
      <w:autoSpaceDE w:val="false"/>
    </w:pPr>
    <w:rPr>
      <w:sz w:val="20"/>
      <w:szCs w:val="20"/>
    </w:rPr>
  </w:style>
  <w:style w:type="paragraph" w:styleId="Style30">
    <w:name w:val="Текст примечания"/>
    <w:basedOn w:val="Normal"/>
    <w:qFormat/>
    <w:pPr/>
    <w:rPr>
      <w:sz w:val="20"/>
      <w:szCs w:val="20"/>
    </w:rPr>
  </w:style>
  <w:style w:type="paragraph" w:styleId="Style31">
    <w:name w:val="Тема примечания"/>
    <w:basedOn w:val="Style30"/>
    <w:next w:val="Style30"/>
    <w:qFormat/>
    <w:pPr/>
    <w:rPr>
      <w:b/>
      <w:bCs/>
      <w:lang w:val="en-US"/>
    </w:rPr>
  </w:style>
  <w:style w:type="paragraph" w:styleId="Style32">
    <w:name w:val="Подподпункт"/>
    <w:basedOn w:val="Normal"/>
    <w:qFormat/>
    <w:pPr>
      <w:numPr>
        <w:ilvl w:val="0"/>
        <w:numId w:val="3"/>
      </w:numPr>
      <w:tabs>
        <w:tab w:val="clear" w:pos="708"/>
        <w:tab w:val="left" w:pos="927" w:leader="none"/>
      </w:tabs>
      <w:spacing w:lineRule="auto" w:line="360"/>
      <w:ind w:hanging="360" w:start="927" w:end="0"/>
      <w:jc w:val="both"/>
    </w:pPr>
    <w:rPr>
      <w:sz w:val="28"/>
      <w:szCs w:val="20"/>
      <w:lang w:val="en-US"/>
    </w:rPr>
  </w:style>
  <w:style w:type="paragraph" w:styleId="Style33">
    <w:name w:val="Абзац списка"/>
    <w:basedOn w:val="Normal"/>
    <w:qFormat/>
    <w:pPr>
      <w:widowControl w:val="false"/>
      <w:autoSpaceDE w:val="false"/>
      <w:spacing w:before="0" w:after="0"/>
      <w:ind w:hanging="0" w:start="720" w:end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2025-12-12T07:53:00Z</dcterms:created>
  <dc:creator/>
  <dc:description/>
  <cp:keywords/>
  <dc:language>en-US</dc:language>
  <cp:lastModifiedBy/>
  <dcterms:modified xsi:type="dcterms:W3CDTF">2025-12-12T07:53:00Z</dcterms:modified>
  <cp:revision>1</cp:revision>
  <dc:subject/>
  <dc:title>Протокол вскрытия конвертов</dc:title>
</cp:coreProperties>
</file>