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ans" w:hAnsi="Liberation Sans" w:cs="Liberation Sans"/>
          <w:b/>
          <w:sz w:val="22"/>
          <w:szCs w:val="22"/>
        </w:rPr>
      </w:pPr>
      <w:r>
        <w:rPr>
          <w:rFonts w:cs="Liberation Sans" w:ascii="Liberation Sans" w:hAnsi="Liberation Sans"/>
          <w:b/>
          <w:sz w:val="22"/>
          <w:szCs w:val="22"/>
        </w:rPr>
        <w:t>ПРОТОКОЛ</w:t>
      </w:r>
    </w:p>
    <w:p>
      <w:pPr>
        <w:pStyle w:val="Normal"/>
        <w:jc w:val="center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заседания Закупочной комиссии по проведению процедуры переторжки (регулирование цены)</w:t>
      </w:r>
      <w:r>
        <w:rPr>
          <w:rFonts w:cs="Liberation Sans" w:ascii="Liberation Sans" w:hAnsi="Liberation Sans"/>
          <w:bCs/>
          <w:sz w:val="22"/>
          <w:szCs w:val="22"/>
        </w:rPr>
        <w:t xml:space="preserve"> </w:t>
      </w:r>
    </w:p>
    <w:p>
      <w:pPr>
        <w:pStyle w:val="Normal"/>
        <w:jc w:val="center"/>
        <w:rPr>
          <w:rFonts w:ascii="Liberation Sans" w:hAnsi="Liberation Sans" w:cs="Liberation Sans"/>
          <w:b/>
          <w:sz w:val="22"/>
          <w:szCs w:val="22"/>
        </w:rPr>
      </w:pPr>
      <w:r>
        <w:rPr>
          <w:rFonts w:cs="Liberation Sans" w:ascii="Liberation Sans" w:hAnsi="Liberation Sans"/>
          <w:b/>
          <w:sz w:val="22"/>
          <w:szCs w:val="22"/>
        </w:rPr>
        <w:t>г. 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5103"/>
      </w:tblGrid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Номер Протокола: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  <w:lang w:val="en-US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№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22</w:t>
            </w:r>
            <w:r>
              <w:rPr>
                <w:rFonts w:cs="Liberation Sans" w:ascii="Liberation Sans" w:hAnsi="Liberation Sans"/>
                <w:sz w:val="22"/>
                <w:szCs w:val="22"/>
                <w:lang w:val="en-US"/>
              </w:rPr>
              <w:t>0445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/ОЗП-ПП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Способ закупки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 xml:space="preserve">Открытый запрос предложений 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Предмет закупки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 xml:space="preserve">«Обязательное обучение по охране труда и </w:t>
            </w:r>
          </w:p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промышленной безопасности сотрудников АО «Омск РТС»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Дата/время проведения заседания: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«15» декабря 2025 г. 14:00 (МСК)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Дата подписания протокола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/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«15» декабря 2025 г.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Начальная (максимальная) цена: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2 189 300,00 руб. без НДС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Участниками могут быть только субъекты МСП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нет</w:t>
            </w:r>
          </w:p>
        </w:tc>
      </w:tr>
      <w:tr>
        <w:trPr/>
        <w:tc>
          <w:tcPr>
            <w:tcW w:w="507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103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ind w:firstLine="709" w:end="0"/>
        <w:rPr>
          <w:rFonts w:ascii="Liberation Sans" w:hAnsi="Liberation Sans" w:cs="Liberation Sans"/>
          <w:b/>
          <w:sz w:val="22"/>
          <w:szCs w:val="22"/>
        </w:rPr>
      </w:pPr>
      <w:r>
        <w:rPr>
          <w:rFonts w:cs="Liberation Sans" w:ascii="Liberation Sans" w:hAnsi="Liberation Sans"/>
          <w:b/>
          <w:sz w:val="22"/>
          <w:szCs w:val="22"/>
        </w:rPr>
        <w:t xml:space="preserve">ВОПРОСЫ ЗАСЕДАНИЯ ЗАКУПОЧНОЙ КОМИССИИ: </w:t>
      </w:r>
    </w:p>
    <w:p>
      <w:pPr>
        <w:pStyle w:val="Normal"/>
        <w:ind w:firstLine="709" w:end="0"/>
        <w:rPr>
          <w:rFonts w:ascii="Liberation Sans" w:hAnsi="Liberation Sans" w:cs="Liberation Sans"/>
          <w:i/>
          <w:i/>
          <w:color w:val="548DD4"/>
          <w:sz w:val="22"/>
          <w:szCs w:val="22"/>
        </w:rPr>
      </w:pPr>
      <w:r>
        <w:rPr>
          <w:rFonts w:cs="Liberation Sans" w:ascii="Liberation Sans" w:hAnsi="Liberation Sans"/>
          <w:i/>
          <w:color w:val="548DD4"/>
          <w:sz w:val="22"/>
          <w:szCs w:val="22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ind w:start="-108" w:end="-108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ind w:start="-108" w:end="-108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ind w:start="57" w:end="57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ind w:start="57" w:end="57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Дата и время регистрации заявки, Общая цена заявки на участие в закупке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57" w:end="57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57" w:end="57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3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snapToGrid w:val="false"/>
              <w:ind w:hanging="0" w:start="0" w:end="0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07.11.2025 11:35:38</w:t>
            </w:r>
          </w:p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2 189 300,00 руб. без НДС («Цена предложения за группу товаров, работ, услуг в валюте начальной цены без НДС» - 2 075 300,00)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snapToGrid w:val="false"/>
              <w:ind w:hanging="0" w:start="0" w:end="0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 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10.11.2025 08:38:04</w:t>
            </w:r>
          </w:p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</w:rPr>
              <w:t xml:space="preserve">2 189 300,00 руб. без НДС («Цена предложения за группу товаров, работ, услуг в валюте начальной цены без НДС» - 2 189 300,00) 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snapToGrid w:val="false"/>
              <w:ind w:hanging="0" w:start="0" w:end="0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 3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10.11.2025 09:29:03</w:t>
            </w:r>
          </w:p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2 189 300,00 руб. без НДС («Цена предложения за группу товаров, работ, услуг в валюте начальной цены без НДС» - 1 788 600,00)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360" w:leader="none"/>
              </w:tabs>
              <w:snapToGrid w:val="false"/>
              <w:ind w:hanging="0" w:start="0" w:end="0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 4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10.11.2025 10:36:10</w:t>
            </w:r>
          </w:p>
          <w:p>
            <w:pPr>
              <w:pStyle w:val="Normal"/>
              <w:jc w:val="both"/>
              <w:rPr/>
            </w:pPr>
            <w:r>
              <w:rPr>
                <w:rFonts w:cs="Liberation Sans" w:ascii="Liberation Sans" w:hAnsi="Liberation Sans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t>:</w:t>
            </w:r>
          </w:p>
          <w:p>
            <w:pPr>
              <w:pStyle w:val="Normal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2 189 300,00 руб. без НДС («Цена предложения за группу товаров, работ, услуг в валюте начальной цены без НДС» - 1 957 500,00)</w:t>
            </w:r>
          </w:p>
        </w:tc>
      </w:tr>
    </w:tbl>
    <w:p>
      <w:pPr>
        <w:pStyle w:val="Normal"/>
        <w:jc w:val="center"/>
        <w:rPr>
          <w:rFonts w:ascii="Liberation Sans" w:hAnsi="Liberation Sans" w:cs="Liberation Sans"/>
          <w:b/>
          <w:sz w:val="22"/>
          <w:szCs w:val="22"/>
        </w:rPr>
      </w:pPr>
      <w:r>
        <w:rPr>
          <w:rFonts w:cs="Liberation Sans" w:ascii="Liberation Sans" w:hAnsi="Liberation Sans"/>
          <w:b/>
          <w:sz w:val="22"/>
          <w:szCs w:val="22"/>
        </w:rPr>
      </w:r>
    </w:p>
    <w:p>
      <w:pPr>
        <w:pStyle w:val="Normal"/>
        <w:numPr>
          <w:ilvl w:val="0"/>
          <w:numId w:val="4"/>
        </w:numPr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 xml:space="preserve">Проведение </w:t>
      </w:r>
      <w:r>
        <w:rPr>
          <w:rStyle w:val="Style15"/>
          <w:rFonts w:cs="Liberation Sans" w:ascii="Liberation Sans" w:hAnsi="Liberation Sans"/>
          <w:i w:val="false"/>
          <w:color w:val="000000"/>
          <w:sz w:val="22"/>
          <w:szCs w:val="22"/>
        </w:rPr>
        <w:t>заочной</w:t>
      </w:r>
      <w:r>
        <w:rPr>
          <w:rStyle w:val="Style15"/>
          <w:rFonts w:cs="Liberation Sans" w:ascii="Liberation Sans" w:hAnsi="Liberation Sans"/>
          <w:color w:val="548DD4"/>
          <w:sz w:val="22"/>
          <w:szCs w:val="22"/>
        </w:rPr>
        <w:t xml:space="preserve"> </w:t>
      </w:r>
      <w:r>
        <w:rPr>
          <w:rFonts w:cs="Liberation Sans" w:ascii="Liberation Sans" w:hAnsi="Liberation Sans"/>
          <w:sz w:val="22"/>
          <w:szCs w:val="22"/>
        </w:rPr>
        <w:t>процедуры переторжки (регулирование цены)</w:t>
      </w:r>
    </w:p>
    <w:p>
      <w:pPr>
        <w:pStyle w:val="Normal"/>
        <w:ind w:firstLine="709" w:end="0"/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В соответствии с решением Закупочной комиссии проводится процедура переторжки.</w:t>
      </w:r>
    </w:p>
    <w:p>
      <w:pPr>
        <w:pStyle w:val="Normal"/>
        <w:ind w:firstLine="709" w:end="0"/>
        <w:jc w:val="both"/>
        <w:rPr/>
      </w:pPr>
      <w:r>
        <w:rPr/>
        <w:t>На процедуру переторжки были представлены следующие предложения: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1"/>
        <w:gridCol w:w="1933"/>
        <w:gridCol w:w="3744"/>
        <w:gridCol w:w="3714"/>
      </w:tblGrid>
      <w:tr>
        <w:trPr>
          <w:tblHeader w:val="true"/>
          <w:cantSplit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№</w:t>
            </w:r>
            <w:r>
              <w:rPr>
                <w:rFonts w:cs="Liberation Sans" w:ascii="Liberation Sans" w:hAnsi="Liberation Sans"/>
                <w:sz w:val="22"/>
                <w:szCs w:val="22"/>
              </w:rPr>
              <w:br/>
              <w:t>п/п</w:t>
            </w:r>
          </w:p>
        </w:tc>
        <w:tc>
          <w:tcPr>
            <w:tcW w:w="1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Наименование, ИНН/КПП Участника закупки</w:t>
            </w:r>
          </w:p>
        </w:tc>
        <w:tc>
          <w:tcPr>
            <w:tcW w:w="3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 xml:space="preserve">Первоначальная цена заявки на участие в закупке 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Новая цена заявки</w:t>
              <w:br/>
            </w:r>
          </w:p>
        </w:tc>
      </w:tr>
      <w:tr>
        <w:trPr>
          <w:tblHeader w:val="true"/>
          <w:cantSplit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1</w:t>
            </w:r>
          </w:p>
        </w:tc>
        <w:tc>
          <w:tcPr>
            <w:tcW w:w="1933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2</w:t>
            </w:r>
          </w:p>
        </w:tc>
        <w:tc>
          <w:tcPr>
            <w:tcW w:w="3744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3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double" w:sz="4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i/>
                <w:i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  <w:t>4</w:t>
            </w:r>
          </w:p>
        </w:tc>
      </w:tr>
      <w:tr>
        <w:trPr>
          <w:trHeight w:val="191" w:hRule="atLeast"/>
          <w:cantSplit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i/>
                <w:sz w:val="22"/>
                <w:szCs w:val="22"/>
              </w:rPr>
            </w:r>
          </w:p>
        </w:tc>
        <w:tc>
          <w:tcPr>
            <w:tcW w:w="1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 №1</w:t>
            </w:r>
          </w:p>
        </w:tc>
        <w:tc>
          <w:tcPr>
            <w:tcW w:w="3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2 189 300,00 руб. без НДС («Цена предложения за группу товаров, работ, услуг в валюте начальной цены без НДС» - 2 075 300,00)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2 189 300,00 руб. без НДС («Цена предложения за группу товаров, работ, услуг в валюте начальной цены без НДС» - 1 394 750,00)</w:t>
            </w:r>
          </w:p>
        </w:tc>
      </w:tr>
      <w:tr>
        <w:trPr>
          <w:trHeight w:val="191" w:hRule="atLeast"/>
          <w:cantSplit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1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 №2</w:t>
            </w:r>
          </w:p>
        </w:tc>
        <w:tc>
          <w:tcPr>
            <w:tcW w:w="3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eastAsia="Liberation Sans" w:cs="Liberation Sans"/>
                <w:sz w:val="22"/>
                <w:szCs w:val="22"/>
              </w:rPr>
            </w:pPr>
            <w:r>
              <w:rPr>
                <w:rFonts w:eastAsia="Liberation Sans" w:cs="Liberation Sans" w:ascii="Liberation Sans" w:hAnsi="Liberation Sans"/>
                <w:sz w:val="22"/>
                <w:szCs w:val="22"/>
              </w:rPr>
              <w:t>2 189 300,00 руб. без НДС («Цена предложения за группу товаров, работ, услуг в валюте начальной цены без НДС» - 2 189 300,00)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eastAsia="Liberation Sans" w:cs="Liberation Sans" w:ascii="Liberation Sans" w:hAnsi="Liberation Sans"/>
                <w:sz w:val="22"/>
                <w:szCs w:val="22"/>
              </w:rPr>
              <w:t>2 189 300,00 руб. без НДС («Цена предложения за группу товаров, работ, услуг в валюте начальной цены без НДС» -1 737 100,00)</w:t>
            </w:r>
          </w:p>
        </w:tc>
      </w:tr>
      <w:tr>
        <w:trPr>
          <w:trHeight w:val="191" w:hRule="atLeast"/>
          <w:cantSplit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1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 №3</w:t>
            </w:r>
          </w:p>
        </w:tc>
        <w:tc>
          <w:tcPr>
            <w:tcW w:w="3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eastAsia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2 189 300,00 руб. без НДС («Цена предложения за группу товаров, работ, услуг в валюте начальной цены без НДС» - 1 788 600,00)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eastAsia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2 189 300,00 руб. без НДС («Цена предложения за группу товаров, работ, услуг в валюте начальной цены без НДС» - 1 507 800,00)</w:t>
            </w:r>
          </w:p>
        </w:tc>
      </w:tr>
      <w:tr>
        <w:trPr>
          <w:trHeight w:val="191" w:hRule="atLeast"/>
          <w:cantSplit w:val="true"/>
        </w:trPr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jc w:val="both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eastAsia="Liberation Sans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19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Участник №4</w:t>
            </w:r>
          </w:p>
        </w:tc>
        <w:tc>
          <w:tcPr>
            <w:tcW w:w="3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eastAsia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2 189 300,00 руб. без НДС («Цена предложения за группу товаров, работ, услуг в валюте начальной цены без НДС» - 1 957 500,00)</w:t>
            </w:r>
          </w:p>
        </w:tc>
        <w:tc>
          <w:tcPr>
            <w:tcW w:w="37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Liberation Sans" w:hAnsi="Liberation Sans" w:eastAsia="Liberation Sans" w:cs="Liberation Sans"/>
                <w:sz w:val="22"/>
                <w:szCs w:val="22"/>
              </w:rPr>
            </w:pPr>
            <w:r>
              <w:rPr>
                <w:rFonts w:cs="Liberation Sans" w:ascii="Liberation Sans" w:hAnsi="Liberation Sans"/>
                <w:sz w:val="22"/>
                <w:szCs w:val="22"/>
              </w:rPr>
              <w:t>2 189 300,00 руб. без НДС («Цена предложения за группу товаров, работ, услуг в валюте начальной цены без НДС» - 1 909 900,00)</w:t>
            </w:r>
          </w:p>
        </w:tc>
      </w:tr>
    </w:tbl>
    <w:p>
      <w:pPr>
        <w:pStyle w:val="Normal"/>
        <w:numPr>
          <w:ilvl w:val="0"/>
          <w:numId w:val="4"/>
        </w:numPr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Результаты рассмотрения заявок: не предусмотрено этапом закупки.</w:t>
      </w:r>
    </w:p>
    <w:p>
      <w:pPr>
        <w:pStyle w:val="Normal"/>
        <w:numPr>
          <w:ilvl w:val="0"/>
          <w:numId w:val="4"/>
        </w:numPr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Результаты оценки заявок: не предусмотрено этапом закупки.</w:t>
      </w:r>
    </w:p>
    <w:p>
      <w:pPr>
        <w:pStyle w:val="Normal"/>
        <w:ind w:firstLine="709" w:end="0"/>
        <w:jc w:val="both"/>
        <w:rPr>
          <w:rFonts w:ascii="Liberation Sans" w:hAnsi="Liberation Sans" w:cs="Liberation Sans"/>
          <w:b/>
          <w:sz w:val="22"/>
          <w:szCs w:val="22"/>
        </w:rPr>
      </w:pPr>
      <w:r>
        <w:rPr>
          <w:rFonts w:cs="Liberation Sans" w:ascii="Liberation Sans" w:hAnsi="Liberation Sans"/>
          <w:b/>
          <w:sz w:val="22"/>
          <w:szCs w:val="22"/>
        </w:rPr>
        <w:t>РЕШИЛИ:</w:t>
      </w:r>
    </w:p>
    <w:p>
      <w:pPr>
        <w:pStyle w:val="Normal"/>
        <w:numPr>
          <w:ilvl w:val="0"/>
          <w:numId w:val="3"/>
        </w:numPr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Утвердить протокол заседания закупочной комиссии.</w:t>
      </w:r>
    </w:p>
    <w:p>
      <w:pPr>
        <w:pStyle w:val="Normal"/>
        <w:ind w:firstLine="709" w:end="0"/>
        <w:jc w:val="both"/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Участник, участвовавший в процедуре переторжки и снизивший свою цену, обязан дополнительно представить откорректированные с учетом новой цены, полученной после процедуры переторжки, документы, определяющие его коммерческое предложение.</w:t>
      </w:r>
    </w:p>
    <w:p>
      <w:pPr>
        <w:pStyle w:val="Normal"/>
        <w:ind w:firstLine="709" w:end="0"/>
        <w:jc w:val="both"/>
        <w:rPr/>
      </w:pPr>
      <w:r>
        <w:rPr>
          <w:rFonts w:cs="Liberation Sans" w:ascii="Liberation Sans" w:hAnsi="Liberation Sans"/>
          <w:sz w:val="22"/>
          <w:szCs w:val="22"/>
        </w:rPr>
        <w:t>Участник, приглашенный на процедуру переторжки, вправе не участвовать в ней, тогда его заявка, остается действующий с ранее объявленной ценой заявки на участие в закупке.</w:t>
      </w:r>
    </w:p>
    <w:p>
      <w:pPr>
        <w:pStyle w:val="Normal"/>
        <w:numPr>
          <w:ilvl w:val="0"/>
          <w:numId w:val="3"/>
        </w:numPr>
        <w:rPr>
          <w:rFonts w:ascii="Liberation Sans" w:hAnsi="Liberation Sans" w:cs="Liberation Sans"/>
          <w:sz w:val="22"/>
          <w:szCs w:val="22"/>
        </w:rPr>
      </w:pPr>
      <w:r>
        <w:rPr>
          <w:rFonts w:cs="Liberation Sans" w:ascii="Liberation Sans" w:hAnsi="Liberation Sans"/>
          <w:sz w:val="22"/>
          <w:szCs w:val="22"/>
        </w:rPr>
        <w:t>Направить новые ценовые предложения участников для проведения экспертизы.</w:t>
      </w:r>
    </w:p>
    <w:p>
      <w:pPr>
        <w:pStyle w:val="Normal"/>
        <w:ind w:firstLine="709" w:end="0"/>
        <w:jc w:val="both"/>
        <w:rPr/>
      </w:pPr>
      <w:r>
        <w:rPr/>
        <w:t>Председатель Закупочной комиссии: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7"/>
        <w:gridCol w:w="581"/>
        <w:gridCol w:w="1857"/>
        <w:gridCol w:w="2238"/>
        <w:gridCol w:w="2578"/>
      </w:tblGrid>
      <w:tr>
        <w:trPr>
          <w:trHeight w:val="364" w:hRule="atLeast"/>
        </w:trPr>
        <w:tc>
          <w:tcPr>
            <w:tcW w:w="2317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581" w:type="dxa"/>
            <w:tcBorders/>
          </w:tcPr>
          <w:p>
            <w:pPr>
              <w:pStyle w:val="Normal"/>
              <w:numPr>
                <w:ilvl w:val="0"/>
                <w:numId w:val="6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185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223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257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</w:tr>
      <w:tr>
        <w:trPr>
          <w:trHeight w:val="150" w:hRule="atLeast"/>
        </w:trPr>
        <w:tc>
          <w:tcPr>
            <w:tcW w:w="2317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</w:r>
          </w:p>
        </w:tc>
        <w:tc>
          <w:tcPr>
            <w:tcW w:w="581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</w:r>
          </w:p>
        </w:tc>
        <w:tc>
          <w:tcPr>
            <w:tcW w:w="1857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  <w:t>(Подпись)</w:t>
            </w:r>
          </w:p>
        </w:tc>
        <w:tc>
          <w:tcPr>
            <w:tcW w:w="2238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</w:r>
          </w:p>
        </w:tc>
        <w:tc>
          <w:tcPr>
            <w:tcW w:w="2578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  <w:t>(Фамилия И.О.)</w:t>
            </w:r>
          </w:p>
        </w:tc>
      </w:tr>
    </w:tbl>
    <w:p>
      <w:pPr>
        <w:pStyle w:val="Normal"/>
        <w:spacing w:before="120" w:after="120"/>
        <w:ind w:firstLine="709" w:end="0"/>
        <w:jc w:val="both"/>
        <w:rPr/>
      </w:pPr>
      <w:r>
        <w:rPr/>
        <w:t>Секретарь Закупочной комиссии (без права голоса):</w:t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54"/>
        <w:gridCol w:w="570"/>
        <w:gridCol w:w="1828"/>
        <w:gridCol w:w="2380"/>
        <w:gridCol w:w="2539"/>
      </w:tblGrid>
      <w:tr>
        <w:trPr>
          <w:trHeight w:val="364" w:hRule="atLeast"/>
        </w:trPr>
        <w:tc>
          <w:tcPr>
            <w:tcW w:w="2254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numPr>
                <w:ilvl w:val="0"/>
                <w:numId w:val="6"/>
              </w:numPr>
              <w:tabs>
                <w:tab w:val="clear" w:pos="708"/>
                <w:tab w:val="left" w:pos="432" w:leader="none"/>
              </w:tabs>
              <w:snapToGrid w:val="false"/>
              <w:ind w:hanging="360" w:start="432" w:end="0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1828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238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2539" w:type="dxa"/>
            <w:tcBorders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  <w:t>Ларина Ю.С.</w:t>
            </w:r>
          </w:p>
        </w:tc>
      </w:tr>
      <w:tr>
        <w:trPr>
          <w:trHeight w:val="150" w:hRule="atLeast"/>
        </w:trPr>
        <w:tc>
          <w:tcPr>
            <w:tcW w:w="2254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snapToGrid w:val="false"/>
              <w:rPr>
                <w:rFonts w:ascii="Liberation Sans" w:hAnsi="Liberation Sans" w:eastAsia="Calibri" w:cs="Liberation Sans"/>
                <w:sz w:val="22"/>
                <w:szCs w:val="22"/>
              </w:rPr>
            </w:pPr>
            <w:r>
              <w:rPr>
                <w:rFonts w:eastAsia="Calibri" w:cs="Liberation Sans" w:ascii="Liberation Sans" w:hAnsi="Liberation Sans"/>
                <w:sz w:val="22"/>
                <w:szCs w:val="22"/>
              </w:rPr>
            </w:r>
          </w:p>
        </w:tc>
        <w:tc>
          <w:tcPr>
            <w:tcW w:w="1828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  <w:t>(Подпись)</w:t>
            </w:r>
          </w:p>
        </w:tc>
        <w:tc>
          <w:tcPr>
            <w:tcW w:w="2380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</w:r>
          </w:p>
        </w:tc>
        <w:tc>
          <w:tcPr>
            <w:tcW w:w="2539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ascii="Liberation Sans" w:hAnsi="Liberation Sans" w:eastAsia="Calibri" w:cs="Liberation Sans"/>
                <w:sz w:val="16"/>
                <w:szCs w:val="16"/>
              </w:rPr>
            </w:pPr>
            <w:r>
              <w:rPr>
                <w:rFonts w:eastAsia="Calibri" w:cs="Liberation Sans" w:ascii="Liberation Sans" w:hAnsi="Liberation Sans"/>
                <w:sz w:val="16"/>
                <w:szCs w:val="16"/>
              </w:rPr>
              <w:t>(Фамилия И.О.)</w:t>
            </w:r>
          </w:p>
        </w:tc>
      </w:tr>
    </w:tbl>
    <w:p>
      <w:pPr>
        <w:pStyle w:val="Normal"/>
        <w:spacing w:before="120" w:after="120"/>
        <w:ind w:firstLine="709" w:end="0"/>
        <w:jc w:val="both"/>
        <w:rPr>
          <w:rFonts w:ascii="Liberation Serif" w:hAnsi="Liberation Serif" w:cs="Liberation Serif"/>
          <w:color w:val="548DD4"/>
          <w:sz w:val="22"/>
          <w:szCs w:val="22"/>
        </w:rPr>
      </w:pPr>
      <w:r>
        <w:rPr>
          <w:rFonts w:cs="Liberation Serif" w:ascii="Liberation Serif" w:hAnsi="Liberation Serif"/>
          <w:color w:val="548DD4"/>
          <w:sz w:val="22"/>
          <w:szCs w:val="22"/>
        </w:rPr>
      </w:r>
    </w:p>
    <w:sectPr>
      <w:headerReference w:type="default" r:id="rId2"/>
      <w:headerReference w:type="first" r:id="rId3"/>
      <w:type w:val="nextPage"/>
      <w:pgSz w:w="11906" w:h="16838"/>
      <w:pgMar w:left="1134" w:right="850" w:gutter="0" w:header="709" w:top="765" w:footer="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4188"/>
        </w:tabs>
        <w:ind w:start="4188" w:hanging="360"/>
      </w:pPr>
    </w:lvl>
    <w:lvl w:ilvl="1">
      <w:start w:val="1"/>
      <w:numFmt w:val="lowerLetter"/>
      <w:lvlText w:val="%2."/>
      <w:lvlJc w:val="start"/>
      <w:pPr>
        <w:tabs>
          <w:tab w:val="num" w:pos="5268"/>
        </w:tabs>
        <w:ind w:start="5268" w:hanging="360"/>
      </w:pPr>
    </w:lvl>
    <w:lvl w:ilvl="2">
      <w:start w:val="1"/>
      <w:numFmt w:val="lowerRoman"/>
      <w:lvlText w:val="%3."/>
      <w:lvlJc w:val="end"/>
      <w:pPr>
        <w:tabs>
          <w:tab w:val="num" w:pos="5988"/>
        </w:tabs>
        <w:ind w:start="5988" w:hanging="180"/>
      </w:pPr>
    </w:lvl>
    <w:lvl w:ilvl="3">
      <w:start w:val="1"/>
      <w:numFmt w:val="decimal"/>
      <w:lvlText w:val="%4."/>
      <w:lvlJc w:val="start"/>
      <w:pPr>
        <w:tabs>
          <w:tab w:val="num" w:pos="6708"/>
        </w:tabs>
        <w:ind w:start="6708" w:hanging="360"/>
      </w:pPr>
    </w:lvl>
    <w:lvl w:ilvl="4">
      <w:start w:val="1"/>
      <w:numFmt w:val="lowerLetter"/>
      <w:lvlText w:val="%5."/>
      <w:lvlJc w:val="start"/>
      <w:pPr>
        <w:tabs>
          <w:tab w:val="num" w:pos="7428"/>
        </w:tabs>
        <w:ind w:start="7428" w:hanging="360"/>
      </w:pPr>
    </w:lvl>
    <w:lvl w:ilvl="5">
      <w:start w:val="1"/>
      <w:numFmt w:val="lowerRoman"/>
      <w:lvlText w:val="%6."/>
      <w:lvlJc w:val="end"/>
      <w:pPr>
        <w:tabs>
          <w:tab w:val="num" w:pos="8148"/>
        </w:tabs>
        <w:ind w:start="8148" w:hanging="180"/>
      </w:pPr>
    </w:lvl>
    <w:lvl w:ilvl="6">
      <w:start w:val="1"/>
      <w:numFmt w:val="decimal"/>
      <w:lvlText w:val="%7."/>
      <w:lvlJc w:val="start"/>
      <w:pPr>
        <w:tabs>
          <w:tab w:val="num" w:pos="8868"/>
        </w:tabs>
        <w:ind w:start="8868" w:hanging="360"/>
      </w:pPr>
    </w:lvl>
    <w:lvl w:ilvl="7">
      <w:start w:val="1"/>
      <w:numFmt w:val="lowerLetter"/>
      <w:lvlText w:val="%8."/>
      <w:lvlJc w:val="start"/>
      <w:pPr>
        <w:tabs>
          <w:tab w:val="num" w:pos="9588"/>
        </w:tabs>
        <w:ind w:start="9588" w:hanging="360"/>
      </w:pPr>
    </w:lvl>
    <w:lvl w:ilvl="8">
      <w:start w:val="1"/>
      <w:numFmt w:val="lowerRoman"/>
      <w:lvlText w:val="%9."/>
      <w:lvlJc w:val="end"/>
      <w:pPr>
        <w:tabs>
          <w:tab w:val="num" w:pos="10308"/>
        </w:tabs>
        <w:ind w:start="10308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firstLine="709"/>
      </w:pPr>
      <w:rPr>
        <w:sz w:val="22"/>
        <w:b w:val="false"/>
        <w:szCs w:val="22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i w:val="false"/>
        <w:color w:val="00000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44"/>
        </w:tabs>
        <w:ind w:start="644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16"/>
        <w:i w:val="false"/>
        <w:b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4z0">
    <w:name w:val="WW8Num4z0"/>
    <w:qFormat/>
    <w:rPr>
      <w:b w:val="false"/>
      <w:sz w:val="22"/>
      <w:szCs w:val="22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u w:val="none"/>
    </w:rPr>
  </w:style>
  <w:style w:type="character" w:styleId="WW8Num7z0">
    <w:name w:val="WW8Num7z0"/>
    <w:qFormat/>
    <w:rPr>
      <w:i w:val="false"/>
      <w:color w:val="000000"/>
    </w:rPr>
  </w:style>
  <w:style w:type="character" w:styleId="WW8Num8z0">
    <w:name w:val="WW8Num8z0"/>
    <w:qFormat/>
    <w:rPr>
      <w:i w:val="false"/>
      <w:color w:val="000000"/>
    </w:rPr>
  </w:style>
  <w:style w:type="character" w:styleId="WW8Num9z0">
    <w:name w:val="WW8Num9z0"/>
    <w:qFormat/>
    <w:rPr>
      <w:u w:val="none"/>
    </w:rPr>
  </w:style>
  <w:style w:type="character" w:styleId="WW8Num10z0">
    <w:name w:val="WW8Num10z0"/>
    <w:qFormat/>
    <w:rPr/>
  </w:style>
  <w:style w:type="character" w:styleId="WW8Num13z0">
    <w:name w:val="WW8Num13z0"/>
    <w:qFormat/>
    <w:rPr>
      <w:rFonts w:ascii="Symbol" w:hAnsi="Symbol" w:cs="Symbol"/>
      <w:color w:val="000000"/>
    </w:rPr>
  </w:style>
  <w:style w:type="character" w:styleId="WW8Num14z0">
    <w:name w:val="WW8Num14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5z0">
    <w:name w:val="WW8Num15z0"/>
    <w:qFormat/>
    <w:rPr/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9z0">
    <w:name w:val="WW8Num19z0"/>
    <w:qFormat/>
    <w:rPr>
      <w:sz w:val="24"/>
      <w:szCs w:val="24"/>
    </w:rPr>
  </w:style>
  <w:style w:type="character" w:styleId="WW8Num19z1">
    <w:name w:val="WW8Num19z1"/>
    <w:qFormat/>
    <w:rPr>
      <w:rFonts w:ascii="Symbol" w:hAnsi="Symbol" w:cs="Symbol"/>
      <w:b w:val="false"/>
      <w:i w:val="false"/>
      <w:sz w:val="24"/>
    </w:rPr>
  </w:style>
  <w:style w:type="character" w:styleId="WW8Num20z0">
    <w:name w:val="WW8Num20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2z0">
    <w:name w:val="WW8Num22z0"/>
    <w:qFormat/>
    <w:rPr>
      <w:sz w:val="20"/>
      <w:szCs w:val="20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25z0">
    <w:name w:val="WW8Num25z0"/>
    <w:qFormat/>
    <w:rPr>
      <w:sz w:val="24"/>
      <w:szCs w:val="24"/>
    </w:rPr>
  </w:style>
  <w:style w:type="character" w:styleId="WW8Num25z1">
    <w:name w:val="WW8Num25z1"/>
    <w:qFormat/>
    <w:rPr>
      <w:rFonts w:ascii="Symbol" w:hAnsi="Symbol" w:cs="Symbol"/>
      <w:b w:val="false"/>
      <w:i w:val="false"/>
      <w:sz w:val="24"/>
    </w:rPr>
  </w:style>
  <w:style w:type="character" w:styleId="WW8Num26z0">
    <w:name w:val="WW8Num26z0"/>
    <w:qFormat/>
    <w:rPr>
      <w:sz w:val="20"/>
      <w:szCs w:val="20"/>
    </w:rPr>
  </w:style>
  <w:style w:type="character" w:styleId="WW8Num28z0">
    <w:name w:val="WW8Num28z0"/>
    <w:qFormat/>
    <w:rPr/>
  </w:style>
  <w:style w:type="character" w:styleId="WW8Num28z1">
    <w:name w:val="WW8Num28z1"/>
    <w:qFormat/>
    <w:rPr>
      <w:color w:val="000000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1z1">
    <w:name w:val="WW8Num31z1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8"/>
      <w:sz w:val="28"/>
      <w:szCs w:val="28"/>
      <w:vertAlign w:val="baseline"/>
    </w:rPr>
  </w:style>
  <w:style w:type="character" w:styleId="WW8Num32z1">
    <w:name w:val="WW8Num32z1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8"/>
      <w:vertAlign w:val="baseline"/>
    </w:rPr>
  </w:style>
  <w:style w:type="character" w:styleId="WW8Num33z0">
    <w:name w:val="WW8Num33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34z0">
    <w:name w:val="WW8Num34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3"/>
    <w:qFormat/>
    <w:rPr/>
  </w:style>
  <w:style w:type="character" w:styleId="Style19">
    <w:name w:val="Тема примечания Знак"/>
    <w:qFormat/>
    <w:rPr>
      <w:b/>
      <w:bCs/>
    </w:rPr>
  </w:style>
  <w:style w:type="character" w:styleId="FontStyle128">
    <w:name w:val="Font Style128"/>
    <w:qFormat/>
    <w:rPr>
      <w:rFonts w:ascii="Times New Roman" w:hAnsi="Times New Roman" w:cs="Times New Roman"/>
      <w:color w:val="000000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Обычный (веб)"/>
    <w:basedOn w:val="Normal"/>
    <w:qFormat/>
    <w:pPr>
      <w:spacing w:before="280" w:after="280"/>
    </w:pPr>
    <w:rPr>
      <w:rFonts w:ascii="Arial" w:hAnsi="Arial" w:cs="Arial"/>
      <w:color w:val="283555"/>
      <w:sz w:val="20"/>
      <w:szCs w:val="20"/>
    </w:rPr>
  </w:style>
  <w:style w:type="paragraph" w:styleId="Style25">
    <w:name w:val="Текст примечания"/>
    <w:basedOn w:val="Normal"/>
    <w:qFormat/>
    <w:pPr/>
    <w:rPr>
      <w:sz w:val="20"/>
      <w:szCs w:val="20"/>
    </w:rPr>
  </w:style>
  <w:style w:type="paragraph" w:styleId="Style26">
    <w:name w:val="Тема примечания"/>
    <w:basedOn w:val="Style25"/>
    <w:next w:val="Style25"/>
    <w:qFormat/>
    <w:pPr/>
    <w:rPr>
      <w:b/>
      <w:bCs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2025-12-15T12:53:00Z</dcterms:created>
  <dc:creator/>
  <dc:description/>
  <cp:keywords/>
  <dc:language>en-US</dc:language>
  <cp:lastModifiedBy/>
  <dcterms:modified xsi:type="dcterms:W3CDTF">2025-12-15T13:10:00Z</dcterms:modified>
  <cp:revision>1</cp:revision>
  <dc:subject/>
  <dc:title>Протокол вскрытия конвертов</dc:title>
</cp:coreProperties>
</file>