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kern w:val="2"/>
        </w:rPr>
      </w:pPr>
      <w:r>
        <w:rPr>
          <w:b/>
          <w:i/>
          <w:kern w:val="2"/>
        </w:rPr>
        <w:t xml:space="preserve">ПРОТОКОЛ ЗАСЕДАНИЯ 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</w:rPr>
      </w:pPr>
      <w:r>
        <w:rPr>
          <w:b/>
          <w:i/>
          <w:kern w:val="2"/>
        </w:rPr>
        <w:t xml:space="preserve">ПОСТОЯННО ДЕЙСТВУЮЩЕЙ ЗАКУПОЧНОЙ КОМИССИИ № </w:t>
      </w:r>
      <w:r>
        <w:rPr>
          <w:b/>
          <w:i/>
        </w:rPr>
        <w:t>32515379753/2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заседания комиссии: 15 октября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подписания протокола: 15 декабря 2025 года.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Общее число членов постоянно действующей закупочной комиссии филиала ПАО «Россети Юг» - «Кубаньэнерго» составляет - 9.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6"/>
      </w:tblGrid>
      <w:tr>
        <w:trPr>
          <w:trHeight w:val="1048" w:hRule="atLeast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Голосовали: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color w:val="000000"/>
              </w:rPr>
              <w:t>Председатель ПДЗК:</w:t>
            </w:r>
            <w:r>
              <w:rPr>
                <w:color w:val="000000"/>
              </w:rPr>
              <w:t xml:space="preserve"> </w:t>
            </w:r>
            <w:r>
              <w:rPr>
                <w:bCs/>
              </w:rPr>
              <w:t>В.А. Коржаневский,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Cs/>
              </w:rPr>
            </w:pPr>
            <w:r>
              <w:rPr>
                <w:b/>
                <w:bCs/>
              </w:rPr>
              <w:t xml:space="preserve">Заместители председателя ПДЗК: </w:t>
            </w:r>
            <w:r>
              <w:rPr>
                <w:bCs/>
              </w:rPr>
              <w:t xml:space="preserve">О.Ф. Нищук,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  <w:bCs/>
              </w:rPr>
              <w:t xml:space="preserve">Члены ПДЗК: </w:t>
            </w:r>
            <w:r>
              <w:rPr>
                <w:color w:val="000000"/>
              </w:rPr>
              <w:t>Д.А. Коновалов,</w:t>
            </w:r>
            <w:r>
              <w:rPr/>
              <w:t xml:space="preserve"> </w:t>
            </w:r>
            <w:r>
              <w:rPr>
                <w:bCs/>
              </w:rPr>
              <w:t>С.С. Шевченко, А.А. Часов,</w:t>
            </w:r>
            <w:r>
              <w:rPr/>
              <w:t xml:space="preserve"> О.В. Бабак, </w:t>
            </w:r>
          </w:p>
          <w:p>
            <w:pPr>
              <w:pStyle w:val="Normal"/>
              <w:jc w:val="both"/>
              <w:rPr>
                <w:b/>
                <w:color w:val="000000"/>
              </w:rPr>
            </w:pPr>
            <w:r>
              <w:rPr>
                <w:b/>
              </w:rPr>
              <w:t>Не приняли участие в голосовании:</w:t>
            </w:r>
            <w:r>
              <w:rPr>
                <w:bCs/>
              </w:rPr>
              <w:t xml:space="preserve"> </w:t>
            </w:r>
            <w:r>
              <w:rPr/>
              <w:t>В.А. Михайлов,</w:t>
            </w:r>
            <w:r>
              <w:rPr>
                <w:bCs/>
              </w:rPr>
              <w:t xml:space="preserve"> С.С. Заворин, </w:t>
            </w:r>
            <w:r>
              <w:rPr/>
              <w:t>О.В. Крылов.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Кворум имеется. Комиссия правомочна.</w:t>
      </w:r>
      <w:r>
        <w:rPr>
          <w:color w:val="000000"/>
        </w:rPr>
        <w:t xml:space="preserve"> 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Normal"/>
        <w:tabs>
          <w:tab w:val="left" w:pos="709" w:leader="none"/>
        </w:tabs>
        <w:jc w:val="both"/>
        <w:rPr/>
      </w:pPr>
      <w:r>
        <w:rPr/>
        <w:t>Настоящий запрос предложений</w:t>
      </w:r>
      <w:r>
        <w:rPr>
          <w:bCs/>
        </w:rPr>
        <w:t xml:space="preserve"> </w:t>
      </w:r>
      <w:r>
        <w:rPr/>
        <w:t>в электронной форме проводится с использованием функционала Единой электронной торговой площадки «Росэлторг» (далее - ЕЭТП) согласно Правилам работы данной системы.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31"/>
        <w:numPr>
          <w:ilvl w:val="0"/>
          <w:numId w:val="2"/>
        </w:numPr>
        <w:tabs>
          <w:tab w:val="clear" w:pos="709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>ВОПРОСЫ ЗАСЕДАНИЯ ПОСТОЯННО ДЕЙСТВУЮЩЕЙ ЗАКУПОЧНОЙ КОМИССИИ:</w:t>
      </w:r>
    </w:p>
    <w:p>
      <w:pPr>
        <w:pStyle w:val="31"/>
        <w:numPr>
          <w:ilvl w:val="0"/>
          <w:numId w:val="7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sz w:val="24"/>
          <w:szCs w:val="24"/>
          <w:lang w:val="ru-RU"/>
        </w:rPr>
        <w:t>О переносе срока.</w:t>
      </w:r>
    </w:p>
    <w:p>
      <w:pPr>
        <w:pStyle w:val="31"/>
        <w:numPr>
          <w:ilvl w:val="0"/>
          <w:numId w:val="7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bCs/>
          <w:sz w:val="24"/>
          <w:szCs w:val="24"/>
          <w:lang w:val="ru-RU"/>
        </w:rPr>
        <w:t xml:space="preserve">О признании проведения </w:t>
      </w:r>
      <w:r>
        <w:rPr>
          <w:sz w:val="24"/>
          <w:szCs w:val="24"/>
          <w:lang w:val="ru-RU"/>
        </w:rPr>
        <w:t>процедуры переторжки состоявшейся</w:t>
      </w:r>
      <w:r>
        <w:rPr>
          <w:sz w:val="24"/>
          <w:szCs w:val="24"/>
        </w:rPr>
        <w:t>.</w:t>
      </w:r>
    </w:p>
    <w:p>
      <w:pPr>
        <w:pStyle w:val="Style22"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>
          <w:color w:val="000000"/>
        </w:rPr>
        <w:t>О рассмотрении экспертного заключения и принятии его к сведению.</w:t>
      </w:r>
    </w:p>
    <w:p>
      <w:pPr>
        <w:pStyle w:val="Style22"/>
        <w:numPr>
          <w:ilvl w:val="0"/>
          <w:numId w:val="7"/>
        </w:numPr>
        <w:tabs>
          <w:tab w:val="clear" w:pos="709"/>
          <w:tab w:val="left" w:pos="284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>
          <w:color w:val="000000"/>
        </w:rPr>
        <w:t xml:space="preserve">О признании заявок участников соответствующими </w:t>
      </w:r>
      <w:r>
        <w:rPr>
          <w:bCs/>
          <w:color w:val="000000"/>
        </w:rPr>
        <w:t xml:space="preserve">условиям </w:t>
      </w:r>
      <w:r>
        <w:rPr>
          <w:bCs/>
          <w:color w:val="000000"/>
          <w:lang w:val="ru-RU"/>
        </w:rPr>
        <w:t xml:space="preserve">запроса предложений </w:t>
      </w:r>
      <w:r>
        <w:rPr>
          <w:color w:val="000000"/>
        </w:rPr>
        <w:t>в электронной форме по результатам рассмотрения ценовых предложений заявок.</w:t>
      </w:r>
    </w:p>
    <w:p>
      <w:pPr>
        <w:pStyle w:val="Style22"/>
        <w:numPr>
          <w:ilvl w:val="0"/>
          <w:numId w:val="7"/>
        </w:numPr>
        <w:tabs>
          <w:tab w:val="clear" w:pos="709"/>
          <w:tab w:val="left" w:pos="0" w:leader="none"/>
          <w:tab w:val="left" w:pos="284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/>
        <w:t>Об одобрении оценки заявок участников по оценочным критериям и итогового ранжира заявок участников</w:t>
      </w:r>
      <w:r>
        <w:rPr>
          <w:color w:val="000000"/>
        </w:rPr>
        <w:t>.</w:t>
      </w:r>
    </w:p>
    <w:p>
      <w:pPr>
        <w:pStyle w:val="Style22"/>
        <w:numPr>
          <w:ilvl w:val="0"/>
          <w:numId w:val="7"/>
        </w:numPr>
        <w:tabs>
          <w:tab w:val="clear" w:pos="709"/>
          <w:tab w:val="left" w:pos="284" w:leader="none"/>
        </w:tabs>
        <w:autoSpaceDE w:val="false"/>
        <w:spacing w:before="0" w:after="0"/>
        <w:ind w:hanging="284" w:start="284" w:end="0"/>
        <w:contextualSpacing/>
        <w:jc w:val="both"/>
        <w:rPr>
          <w:color w:val="000000"/>
        </w:rPr>
      </w:pPr>
      <w:r>
        <w:rPr>
          <w:color w:val="000000"/>
        </w:rPr>
        <w:t>О выборе победителя.</w:t>
      </w:r>
    </w:p>
    <w:p>
      <w:pPr>
        <w:pStyle w:val="Style22"/>
        <w:tabs>
          <w:tab w:val="clear" w:pos="709"/>
          <w:tab w:val="left" w:pos="142" w:leader="none"/>
          <w:tab w:val="left" w:pos="284" w:leader="none"/>
        </w:tabs>
        <w:autoSpaceDE w:val="false"/>
        <w:spacing w:before="0" w:after="0"/>
        <w:ind w:start="0" w:end="0"/>
        <w:contextualSpacing/>
        <w:jc w:val="both"/>
        <w:rPr>
          <w:color w:val="000000"/>
        </w:rPr>
      </w:pPr>
      <w:r>
        <w:rPr>
          <w:color w:val="000000"/>
        </w:rPr>
      </w:r>
    </w:p>
    <w:p>
      <w:pPr>
        <w:pStyle w:val="31"/>
        <w:numPr>
          <w:ilvl w:val="0"/>
          <w:numId w:val="2"/>
        </w:numPr>
        <w:tabs>
          <w:tab w:val="clear" w:pos="709"/>
          <w:tab w:val="left" w:pos="142" w:leader="none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</w:rPr>
        <w:t>Информация о закупке</w:t>
      </w:r>
      <w:r>
        <w:rPr>
          <w:b/>
          <w:bCs/>
          <w:caps/>
          <w:sz w:val="24"/>
          <w:szCs w:val="24"/>
          <w:lang w:val="ru-RU"/>
        </w:rPr>
        <w:t>.</w:t>
      </w:r>
    </w:p>
    <w:p>
      <w:pPr>
        <w:pStyle w:val="31"/>
        <w:numPr>
          <w:ilvl w:val="0"/>
          <w:numId w:val="3"/>
        </w:numPr>
        <w:tabs>
          <w:tab w:val="clear" w:pos="709"/>
          <w:tab w:val="left" w:pos="142" w:leader="none"/>
          <w:tab w:val="left" w:pos="284" w:leader="none"/>
        </w:tabs>
        <w:ind w:hanging="0" w:start="0" w:end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</w:t>
      </w:r>
      <w:r>
        <w:rPr>
          <w:bCs/>
          <w:iCs/>
          <w:sz w:val="24"/>
          <w:szCs w:val="24"/>
          <w:lang w:val="ru-RU"/>
        </w:rPr>
        <w:t xml:space="preserve">о </w:t>
      </w:r>
      <w:r>
        <w:rPr>
          <w:bCs/>
          <w:iCs/>
          <w:sz w:val="24"/>
          <w:szCs w:val="24"/>
        </w:rPr>
        <w:t xml:space="preserve">проведении </w:t>
      </w:r>
      <w:r>
        <w:rPr>
          <w:bCs/>
          <w:iCs/>
          <w:sz w:val="24"/>
          <w:szCs w:val="24"/>
          <w:lang w:val="ru-RU"/>
        </w:rPr>
        <w:t xml:space="preserve">запроса предложений </w:t>
      </w:r>
      <w:r>
        <w:rPr>
          <w:bCs/>
          <w:iCs/>
          <w:sz w:val="24"/>
          <w:szCs w:val="24"/>
        </w:rPr>
        <w:t>в электронной форме от</w:t>
      </w:r>
      <w:r>
        <w:rPr>
          <w:bCs/>
          <w:iCs/>
          <w:sz w:val="24"/>
          <w:szCs w:val="24"/>
          <w:lang w:val="ru-RU"/>
        </w:rPr>
        <w:t xml:space="preserve"> 07</w:t>
      </w:r>
      <w:r>
        <w:rPr>
          <w:bCs/>
          <w:iCs/>
          <w:sz w:val="24"/>
          <w:szCs w:val="24"/>
        </w:rPr>
        <w:t>.</w:t>
      </w:r>
      <w:r>
        <w:rPr>
          <w:bCs/>
          <w:iCs/>
          <w:sz w:val="24"/>
          <w:szCs w:val="24"/>
          <w:lang w:val="ru-RU"/>
        </w:rPr>
        <w:t>11</w:t>
      </w:r>
      <w:r>
        <w:rPr>
          <w:bCs/>
          <w:iCs/>
          <w:sz w:val="24"/>
          <w:szCs w:val="24"/>
        </w:rPr>
        <w:t>.202</w:t>
      </w:r>
      <w:r>
        <w:rPr>
          <w:bCs/>
          <w:iCs/>
          <w:sz w:val="24"/>
          <w:szCs w:val="24"/>
          <w:lang w:val="ru-RU"/>
        </w:rPr>
        <w:t xml:space="preserve">5 </w:t>
      </w:r>
      <w:r>
        <w:rPr>
          <w:b/>
          <w:bCs/>
          <w:iCs/>
          <w:sz w:val="24"/>
          <w:szCs w:val="24"/>
          <w:lang w:val="ru-RU"/>
        </w:rPr>
        <w:t xml:space="preserve">№ </w:t>
      </w:r>
      <w:r>
        <w:rPr>
          <w:b/>
          <w:bCs/>
          <w:iCs/>
          <w:sz w:val="24"/>
          <w:szCs w:val="24"/>
        </w:rPr>
        <w:t>32515379753</w:t>
      </w:r>
      <w:r>
        <w:rPr>
          <w:bCs/>
          <w:iCs/>
          <w:sz w:val="24"/>
          <w:szCs w:val="24"/>
        </w:rPr>
        <w:t>, 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sz w:val="24"/>
            <w:szCs w:val="24"/>
          </w:rPr>
          <w:t>www.zakupki.gov.ru</w:t>
        </w:r>
      </w:hyperlink>
      <w:r>
        <w:rPr>
          <w:bCs/>
          <w:iCs/>
          <w:sz w:val="24"/>
          <w:szCs w:val="24"/>
        </w:rPr>
        <w:t>), с копией публикации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Cs/>
          <w:iCs/>
          <w:sz w:val="24"/>
          <w:szCs w:val="24"/>
        </w:rPr>
        <w:t xml:space="preserve"> на Единой электронной торговой площадке «Росэлторг» </w:t>
      </w:r>
      <w:r>
        <w:rPr>
          <w:bCs/>
          <w:iCs/>
          <w:color w:val="0000FF"/>
          <w:sz w:val="24"/>
          <w:szCs w:val="24"/>
          <w:u w:val="single"/>
        </w:rPr>
        <w:t>(www.roseltorg.ru)</w:t>
      </w:r>
      <w:r>
        <w:rPr>
          <w:bCs/>
          <w:iCs/>
          <w:color w:val="0000FF"/>
          <w:sz w:val="24"/>
          <w:szCs w:val="24"/>
        </w:rPr>
        <w:t>.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75"/>
        <w:gridCol w:w="2379"/>
        <w:gridCol w:w="3547"/>
      </w:tblGrid>
      <w:tr>
        <w:trPr>
          <w:trHeight w:val="58" w:hRule="atLeast"/>
          <w:cantSplit w:val="true"/>
        </w:trPr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Предмет договора</w:t>
            </w:r>
          </w:p>
        </w:tc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Цена закупаемых товаров, работ, услуг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492" w:hRule="atLeast"/>
          <w:cantSplit w:val="true"/>
        </w:trPr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Право заключения договора на поставку конденсаторов косинусных</w:t>
            </w:r>
          </w:p>
        </w:tc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36" w:end="0"/>
              <w:jc w:val="center"/>
              <w:rPr/>
            </w:pPr>
            <w:r>
              <w:rPr/>
              <w:t>602 130, 000</w:t>
            </w:r>
          </w:p>
          <w:p>
            <w:pPr>
              <w:pStyle w:val="Normal"/>
              <w:ind w:start="136" w:end="0"/>
              <w:jc w:val="center"/>
              <w:rPr/>
            </w:pPr>
            <w:r>
              <w:rPr/>
              <w:t>руб. с НДС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В течение 50 рабочих дней с момента подписания договора</w:t>
            </w:r>
          </w:p>
        </w:tc>
      </w:tr>
    </w:tbl>
    <w:p>
      <w:pPr>
        <w:pStyle w:val="31"/>
        <w:numPr>
          <w:ilvl w:val="0"/>
          <w:numId w:val="3"/>
        </w:numPr>
        <w:tabs>
          <w:tab w:val="clear" w:pos="709"/>
          <w:tab w:val="left" w:pos="426" w:leader="none"/>
        </w:tabs>
        <w:ind w:hanging="0" w:start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окончания срока подачи заявок </w:t>
      </w:r>
      <w:r>
        <w:rPr>
          <w:bCs/>
          <w:sz w:val="24"/>
          <w:szCs w:val="24"/>
          <w:lang w:val="ru-RU"/>
        </w:rPr>
        <w:t xml:space="preserve">19.11.2025 г. 11:00 (время московское) на </w:t>
      </w:r>
      <w:r>
        <w:rPr>
          <w:bCs/>
          <w:sz w:val="24"/>
          <w:szCs w:val="24"/>
        </w:rPr>
        <w:t xml:space="preserve">ЕЭТП </w:t>
      </w:r>
      <w:r>
        <w:rPr>
          <w:bCs/>
          <w:iCs/>
          <w:sz w:val="24"/>
          <w:szCs w:val="24"/>
        </w:rPr>
        <w:t>«Росэлторг»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был</w:t>
      </w:r>
      <w:r>
        <w:rPr>
          <w:bCs/>
          <w:sz w:val="24"/>
          <w:szCs w:val="24"/>
          <w:lang w:val="ru-RU"/>
        </w:rPr>
        <w:t>и</w:t>
      </w:r>
      <w:r>
        <w:rPr>
          <w:bCs/>
          <w:sz w:val="24"/>
          <w:szCs w:val="24"/>
        </w:rPr>
        <w:t xml:space="preserve"> подан</w:t>
      </w:r>
      <w:r>
        <w:rPr>
          <w:bCs/>
          <w:sz w:val="24"/>
          <w:szCs w:val="24"/>
          <w:lang w:val="ru-RU"/>
        </w:rPr>
        <w:t>ы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2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(две)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заявки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>ов</w:t>
      </w:r>
      <w:r>
        <w:rPr/>
        <w:t>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4961"/>
        <w:gridCol w:w="4394"/>
      </w:tblGrid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№ </w:t>
            </w:r>
            <w:r>
              <w:rPr>
                <w:bCs/>
                <w:color w:val="000000"/>
              </w:rPr>
              <w:t>п/п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Дата и время подачи заявки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«РЕГИОНИНЖИНИРИНГ»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17.11.2025 в 11:56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«ЭНЕРГОУРАЛ»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18.11.2025 в 15:29 (МСК)</w:t>
            </w:r>
          </w:p>
        </w:tc>
      </w:tr>
    </w:tbl>
    <w:p>
      <w:pPr>
        <w:pStyle w:val="31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</w:r>
    </w:p>
    <w:p>
      <w:pPr>
        <w:pStyle w:val="31"/>
        <w:numPr>
          <w:ilvl w:val="0"/>
          <w:numId w:val="2"/>
        </w:numPr>
        <w:ind w:hanging="0" w:start="0" w:end="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Результаты рассмотрения заяв</w:t>
      </w:r>
      <w:r>
        <w:rPr>
          <w:b/>
          <w:bCs/>
          <w:caps/>
          <w:sz w:val="24"/>
          <w:szCs w:val="24"/>
          <w:lang w:val="ru-RU"/>
        </w:rPr>
        <w:t>О</w:t>
      </w:r>
      <w:r>
        <w:rPr>
          <w:b/>
          <w:bCs/>
          <w:caps/>
          <w:sz w:val="24"/>
          <w:szCs w:val="24"/>
        </w:rPr>
        <w:t>к Участник</w:t>
      </w:r>
      <w:r>
        <w:rPr>
          <w:b/>
          <w:bCs/>
          <w:caps/>
          <w:sz w:val="24"/>
          <w:szCs w:val="24"/>
          <w:lang w:val="ru-RU"/>
        </w:rPr>
        <w:t>ОВ:</w:t>
      </w:r>
    </w:p>
    <w:p>
      <w:pPr>
        <w:pStyle w:val="P-Style"/>
        <w:numPr>
          <w:ilvl w:val="0"/>
          <w:numId w:val="4"/>
        </w:numPr>
        <w:tabs>
          <w:tab w:val="clear" w:pos="709"/>
          <w:tab w:val="left" w:pos="426" w:leader="none"/>
        </w:tabs>
        <w:spacing w:lineRule="auto" w:line="240" w:before="0" w:after="0"/>
        <w:ind w:hanging="0" w:start="0" w:end="0"/>
        <w:jc w:val="both"/>
        <w:rPr>
          <w:bCs/>
        </w:rPr>
      </w:pPr>
      <w:r>
        <w:rPr>
          <w:bCs/>
        </w:rPr>
        <w:t>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</w:t>
      </w:r>
      <w:r>
        <w:rPr/>
        <w:t>: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"/>
        <w:gridCol w:w="3812"/>
        <w:gridCol w:w="2993"/>
        <w:gridCol w:w="2485"/>
      </w:tblGrid>
      <w:tr>
        <w:trPr>
          <w:tblHeader w:val="true"/>
          <w:trHeight w:val="450" w:hRule="atLeast"/>
          <w:cantSplit w:val="true"/>
        </w:trPr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  <w:r>
              <w:rPr>
                <w:color w:val="000000"/>
              </w:rPr>
              <w:t>п/п</w:t>
            </w:r>
          </w:p>
        </w:tc>
        <w:tc>
          <w:tcPr>
            <w:tcW w:w="3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Принятое решение</w:t>
            </w:r>
          </w:p>
        </w:tc>
        <w:tc>
          <w:tcPr>
            <w:tcW w:w="2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Основание для отклонения заявки</w:t>
            </w:r>
          </w:p>
        </w:tc>
      </w:tr>
      <w:tr>
        <w:trPr>
          <w:trHeight w:val="243" w:hRule="atLeast"/>
          <w:cantSplit w:val="true"/>
        </w:trPr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3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«РЕГИОНИНЖИНИРИНГ»</w:t>
            </w:r>
          </w:p>
        </w:tc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2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</w:tr>
      <w:tr>
        <w:trPr>
          <w:trHeight w:val="243" w:hRule="atLeast"/>
          <w:cantSplit w:val="true"/>
        </w:trPr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3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«ЭНЕРГОУРАЛ»</w:t>
            </w:r>
          </w:p>
        </w:tc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2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31"/>
        <w:tabs>
          <w:tab w:val="left" w:pos="709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31"/>
        <w:numPr>
          <w:ilvl w:val="0"/>
          <w:numId w:val="2"/>
        </w:numPr>
        <w:tabs>
          <w:tab w:val="left" w:pos="709" w:leader="none"/>
        </w:tabs>
        <w:ind w:hanging="0" w:start="0" w:end="0"/>
        <w:rPr>
          <w:b/>
          <w:sz w:val="24"/>
          <w:szCs w:val="24"/>
        </w:rPr>
      </w:pPr>
      <w:r>
        <w:rPr>
          <w:b/>
          <w:bCs/>
          <w:caps/>
          <w:sz w:val="24"/>
          <w:szCs w:val="24"/>
        </w:rPr>
        <w:t>РЕШЕНИЕ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ru-RU"/>
        </w:rPr>
        <w:t xml:space="preserve">ПОСТОЯННО ДЕЙСТВУЮЩЕЙ ЗАКУПОЧНОЙ </w:t>
      </w:r>
      <w:r>
        <w:rPr>
          <w:b/>
          <w:sz w:val="24"/>
          <w:szCs w:val="24"/>
        </w:rPr>
        <w:t>КОМИССИИ:</w:t>
      </w:r>
    </w:p>
    <w:p>
      <w:pPr>
        <w:pStyle w:val="Normal"/>
        <w:tabs>
          <w:tab w:val="clear" w:pos="709"/>
          <w:tab w:val="left" w:pos="426" w:leader="none"/>
          <w:tab w:val="left" w:pos="567" w:leader="none"/>
          <w:tab w:val="left" w:pos="7605" w:leader="none"/>
        </w:tabs>
        <w:jc w:val="both"/>
        <w:rPr/>
      </w:pPr>
      <w:r>
        <w:rPr>
          <w:bCs/>
        </w:rPr>
        <w:t>1. Перенести срок подведения итогов на 15.12.2025 г.</w:t>
        <w:tab/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 xml:space="preserve">За – 6 голоса (-ов) 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84" w:leader="none"/>
          <w:tab w:val="left" w:pos="567" w:leader="none"/>
          <w:tab w:val="left" w:pos="7605" w:leader="none"/>
        </w:tabs>
        <w:ind w:hanging="3763" w:start="3763" w:end="0"/>
        <w:jc w:val="both"/>
        <w:rPr/>
      </w:pPr>
      <w:r>
        <w:rPr>
          <w:bCs/>
        </w:rPr>
        <w:t xml:space="preserve">Признать проведение </w:t>
      </w:r>
      <w:r>
        <w:rPr/>
        <w:t>процедуры переторжки состоявшейся</w:t>
      </w:r>
      <w:r>
        <w:rPr>
          <w:bCs/>
        </w:rPr>
        <w:t>.</w:t>
        <w:tab/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 xml:space="preserve">За – 6 голоса (-ов) 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bCs/>
          <w:color w:val="000000"/>
        </w:rPr>
        <w:t>3.</w:t>
      </w:r>
      <w:r>
        <w:rPr>
          <w:bCs/>
          <w:iCs/>
        </w:rPr>
        <w:t xml:space="preserve"> Принять к сведению мнение эксперта.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  <w:tab w:val="left" w:pos="7785" w:leader="none"/>
        </w:tabs>
        <w:jc w:val="both"/>
        <w:rPr/>
      </w:pPr>
      <w:r>
        <w:rPr/>
        <w:t>За – 6 голоса (-ов)</w:t>
        <w:tab/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  <w:tab w:val="left" w:pos="7560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  <w:tab w:val="left" w:pos="7560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jc w:val="both"/>
        <w:rPr/>
      </w:pPr>
      <w:r>
        <w:rPr>
          <w:rFonts w:eastAsia="Calibri"/>
        </w:rPr>
        <w:t>4.</w:t>
      </w:r>
      <w:r>
        <w:rPr/>
        <w:t xml:space="preserve"> Признать заявки ООО «РЕГИОНИНЖИНИРИНГ», ООО «ЭНЕРГОУРАЛ» соответствующими условиям запроса предложений в электронной форме по результатам рассмотрения ценового предложения заявки.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3"/>
        <w:gridCol w:w="1724"/>
        <w:gridCol w:w="1861"/>
        <w:gridCol w:w="1724"/>
        <w:gridCol w:w="1587"/>
      </w:tblGrid>
      <w:tr>
        <w:trPr>
          <w:tblHeader w:val="true"/>
          <w:trHeight w:val="501" w:hRule="atLeast"/>
          <w:cantSplit w:val="true"/>
        </w:trPr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spacing w:before="280" w:after="0"/>
              <w:jc w:val="center"/>
              <w:rPr>
                <w:bCs/>
              </w:rPr>
            </w:pPr>
            <w:r>
              <w:rPr>
                <w:bCs/>
              </w:rPr>
              <w:t>Наименование участника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Ценовое предложение</w:t>
            </w:r>
          </w:p>
        </w:tc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08" w:end="-20"/>
              <w:jc w:val="center"/>
              <w:rPr>
                <w:b/>
                <w:bCs/>
              </w:rPr>
            </w:pPr>
            <w:r>
              <w:rPr>
                <w:bCs/>
              </w:rPr>
              <w:t>Предложение о цене договора, поданное в ходе переторжки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spacing w:before="280" w:after="0"/>
              <w:jc w:val="center"/>
              <w:rPr>
                <w:bCs/>
              </w:rPr>
            </w:pPr>
            <w:r>
              <w:rPr>
                <w:bCs/>
              </w:rPr>
              <w:t>Принятое решение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spacing w:before="280" w:after="0"/>
              <w:jc w:val="center"/>
              <w:rPr>
                <w:bCs/>
              </w:rPr>
            </w:pPr>
            <w:r>
              <w:rPr>
                <w:bCs/>
              </w:rPr>
              <w:t>Основание для отклонения заявки</w:t>
            </w:r>
          </w:p>
        </w:tc>
      </w:tr>
      <w:tr>
        <w:trPr>
          <w:trHeight w:val="187" w:hRule="atLeast"/>
          <w:cantSplit w:val="true"/>
        </w:trPr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«РЕГИОНИНЖИНИРИНГ»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602 130, 00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579 080, 00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11" w:end="-108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>
        <w:trPr>
          <w:trHeight w:val="187" w:hRule="atLeast"/>
          <w:cantSplit w:val="true"/>
        </w:trPr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«ЭНЕРГОУРАЛ»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602 130, 00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440 000, 00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11" w:end="-108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Normal"/>
        <w:keepNext w:val="true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jc w:val="both"/>
        <w:rPr/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284" w:leader="none"/>
        </w:tabs>
        <w:ind w:hanging="1080" w:start="1080" w:end="0"/>
        <w:jc w:val="both"/>
        <w:rPr/>
      </w:pPr>
      <w:r>
        <w:rPr>
          <w:color w:val="000000"/>
        </w:rPr>
        <w:t>Одобрить оценку заявок участников по оценочным критериям и итоговый ранжир:</w:t>
      </w:r>
    </w:p>
    <w:tbl>
      <w:tblPr>
        <w:tblpPr w:vertAnchor="text" w:horzAnchor="text" w:leftFromText="180" w:rightFromText="180" w:tblpX="154" w:tblpY="1"/>
        <w:tblOverlap w:val="never"/>
        <w:tblW w:w="10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6"/>
        <w:gridCol w:w="1242"/>
        <w:gridCol w:w="2067"/>
        <w:gridCol w:w="1555"/>
        <w:gridCol w:w="1236"/>
        <w:gridCol w:w="1173"/>
      </w:tblGrid>
      <w:tr>
        <w:trPr>
          <w:tblHeader w:val="true"/>
          <w:trHeight w:val="553" w:hRule="atLeast"/>
          <w:cantSplit w:val="true"/>
        </w:trPr>
        <w:tc>
          <w:tcPr>
            <w:tcW w:w="30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Наименование организации</w:t>
            </w:r>
          </w:p>
        </w:tc>
        <w:tc>
          <w:tcPr>
            <w:tcW w:w="48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 xml:space="preserve">Наименование критериев оценки, балл </w:t>
            </w:r>
          </w:p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(с учетом весовых коэффициентов)</w:t>
            </w:r>
          </w:p>
        </w:tc>
        <w:tc>
          <w:tcPr>
            <w:tcW w:w="12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Итоговый балл с учетом весовых коэффи</w:t>
            </w:r>
          </w:p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циентов</w:t>
            </w:r>
          </w:p>
        </w:tc>
        <w:tc>
          <w:tcPr>
            <w:tcW w:w="11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/>
              <w:t>Место в итоговом ранжире</w:t>
            </w:r>
          </w:p>
        </w:tc>
      </w:tr>
      <w:tr>
        <w:trPr>
          <w:trHeight w:val="834" w:hRule="atLeast"/>
        </w:trPr>
        <w:tc>
          <w:tcPr>
            <w:tcW w:w="30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8"/>
              <w:jc w:val="center"/>
              <w:rPr/>
            </w:pPr>
            <w:r>
              <w:rPr/>
              <w:t xml:space="preserve">Цена заявки (рейтинг </w:t>
            </w:r>
          </w:p>
          <w:p>
            <w:pPr>
              <w:pStyle w:val="Normal"/>
              <w:ind w:end="-101"/>
              <w:jc w:val="center"/>
              <w:rPr/>
            </w:pPr>
            <w:r>
              <w:rPr/>
              <w:t>по критерию</w:t>
            </w:r>
          </w:p>
          <w:p>
            <w:pPr>
              <w:pStyle w:val="Normal"/>
              <w:ind w:end="-46"/>
              <w:jc w:val="center"/>
              <w:rPr/>
            </w:pPr>
            <w:r>
              <w:rPr/>
              <w:t>стоимости - 0,80)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-562" w:leader="none"/>
              </w:tabs>
              <w:jc w:val="center"/>
              <w:rPr>
                <w:bCs/>
              </w:rPr>
            </w:pPr>
            <w:r>
              <w:rPr>
                <w:lang w:bidi="ru-RU"/>
              </w:rPr>
              <w:t>Наличие проверки качества (аттестации) на предлагаемое оборудование, материалы и системы, подлежащие проверке качества (аттестации) в соответствии с перечнем оборудования, материалов и систем, рекомендованных к применению на объектах ПАО «Россети» - 0,10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jc w:val="center"/>
              <w:rPr>
                <w:bCs/>
              </w:rPr>
            </w:pPr>
            <w:r>
              <w:rPr>
                <w:rFonts w:eastAsia="Calibri"/>
                <w:bCs/>
                <w:lang w:val="en-US" w:eastAsia="ar-SA"/>
              </w:rPr>
              <w:t>Опыт выполнения аналогичных поставок</w:t>
            </w:r>
            <w:r>
              <w:rPr>
                <w:rFonts w:eastAsia="Calibri"/>
                <w:bCs/>
                <w:lang w:eastAsia="ar-SA"/>
              </w:rPr>
              <w:t xml:space="preserve"> - 0,10</w:t>
            </w:r>
          </w:p>
        </w:tc>
        <w:tc>
          <w:tcPr>
            <w:tcW w:w="12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75" w:hRule="atLeast"/>
        </w:trPr>
        <w:tc>
          <w:tcPr>
            <w:tcW w:w="3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«ЭНЕРГОУРАЛ»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567" w:leader="none"/>
              </w:tabs>
              <w:jc w:val="center"/>
              <w:rPr>
                <w:bCs/>
              </w:rPr>
            </w:pPr>
            <w:r>
              <w:rPr>
                <w:bCs/>
              </w:rPr>
              <w:t>21,54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1,00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0,60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23,14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>
        <w:trPr>
          <w:trHeight w:val="275" w:hRule="atLeast"/>
        </w:trPr>
        <w:tc>
          <w:tcPr>
            <w:tcW w:w="3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«РЕГИОНИНЖИНИРИНГ»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567" w:leader="none"/>
              </w:tabs>
              <w:jc w:val="center"/>
              <w:rPr>
                <w:bCs/>
              </w:rPr>
            </w:pPr>
            <w:r>
              <w:rPr>
                <w:bCs/>
              </w:rPr>
              <w:t>3,06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0,00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0,30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3,36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>
      <w:pPr>
        <w:pStyle w:val="Normal"/>
        <w:jc w:val="both"/>
        <w:rPr>
          <w:b/>
          <w:i/>
          <w:i/>
        </w:rPr>
      </w:pPr>
      <w:r/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bCs/>
        </w:rPr>
      </w:pPr>
      <w:r>
        <w:rPr/>
        <w:t xml:space="preserve">За – </w:t>
      </w:r>
      <w:r>
        <w:rPr>
          <w:lang w:val="en-US"/>
        </w:rPr>
        <w:t>6</w:t>
      </w:r>
      <w:r>
        <w:rPr/>
        <w:t xml:space="preserve"> голосов (-ов);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jc w:val="both"/>
        <w:rPr/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284" w:leader="none"/>
        </w:tabs>
        <w:ind w:hanging="0" w:start="0" w:end="0"/>
        <w:jc w:val="both"/>
        <w:rPr>
          <w:color w:val="000000"/>
        </w:rPr>
      </w:pPr>
      <w:r>
        <w:rPr/>
        <w:t xml:space="preserve">Признать </w:t>
      </w:r>
      <w:r>
        <w:rPr>
          <w:bCs/>
        </w:rPr>
        <w:t xml:space="preserve">победителем </w:t>
      </w:r>
      <w:r>
        <w:rPr/>
        <w:t>ООО «ЭНЕРГОУРАЛ»</w:t>
      </w:r>
      <w:r>
        <w:rPr>
          <w:bCs/>
        </w:rPr>
        <w:t>, занявшего первое место по результатам итогового ранжира, на условиях извещения, документации о закупке и заявки</w:t>
      </w:r>
      <w:r>
        <w:rPr/>
        <w:t>. (</w:t>
      </w:r>
      <w:r>
        <w:rPr>
          <w:bCs/>
        </w:rPr>
        <w:t>В связи со снижением стоимости заявки более чем на 25% от начальной (предельной) стоимости договора заключить договор с участником с учетом предоставления им обеспечения исполнения договора (в соответствии с п. 3.7.2 (а) Документации о закупке))</w:t>
      </w:r>
      <w:r>
        <w:rPr/>
        <w:t>.</w:t>
      </w:r>
    </w:p>
    <w:p>
      <w:pPr>
        <w:pStyle w:val="Normal"/>
        <w:keepNext w:val="true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bCs/>
        </w:rPr>
      </w:pPr>
      <w:r>
        <w:rPr/>
        <w:t xml:space="preserve">За – </w:t>
      </w:r>
      <w:r>
        <w:rPr>
          <w:lang w:val="en-US"/>
        </w:rPr>
        <w:t>6</w:t>
      </w:r>
      <w:r>
        <w:rPr/>
        <w:t xml:space="preserve"> голосов (-ов);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jc w:val="both"/>
        <w:rPr/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Решение по вопросу принято.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26" w:leader="none"/>
        </w:tabs>
        <w:jc w:val="both"/>
        <w:outlineLvl w:val="1"/>
        <w:rPr/>
      </w:pPr>
      <w:r>
        <w:rPr/>
        <w:tab/>
        <w:t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ПАО «Россети Юг»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постоянно действующей закупочной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645"/>
        <w:gridCol w:w="3030"/>
      </w:tblGrid>
      <w:tr>
        <w:trPr>
          <w:trHeight w:val="427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  <w:t>В.А. Коржаневский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24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Ответственный секретарь ПДЗК (без права голоса): </w:t>
            </w:r>
          </w:p>
          <w:p>
            <w:pPr>
              <w:pStyle w:val="Normal"/>
              <w:jc w:val="both"/>
              <w:rPr/>
            </w:pPr>
            <w:r>
              <w:rPr/>
              <w:t>А.Н. Гостева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Н.П. Бородинова, (861)212-26-61</w:t>
      </w:r>
    </w:p>
    <w:sectPr>
      <w:footerReference w:type="default" r:id="rId3"/>
      <w:type w:val="nextPage"/>
      <w:pgSz w:w="11906" w:h="16838"/>
      <w:pgMar w:left="993" w:right="707" w:gutter="0" w:header="0" w:top="568" w:footer="397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ind w:end="-2"/>
      <w:jc w:val="center"/>
      <w:rPr>
        <w:bCs/>
        <w:i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ПОСТОЯННО ДЕЙСТВУЮЩЕЙ ЗАКУПОЧНОЙ КОМИССИИ № </w:t>
    </w:r>
    <w:r>
      <w:rPr>
        <w:i/>
        <w:sz w:val="18"/>
        <w:szCs w:val="18"/>
      </w:rPr>
      <w:t>32515379753/</w:t>
    </w:r>
    <w:r>
      <w:rPr>
        <w:bCs/>
        <w:i/>
        <w:sz w:val="18"/>
        <w:szCs w:val="18"/>
      </w:rPr>
      <w:t>2</w:t>
    </w:r>
  </w:p>
  <w:p>
    <w:pPr>
      <w:pStyle w:val="Normal"/>
      <w:jc w:val="end"/>
      <w:rPr/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sz w:val="18"/>
        <w:i/>
        <w:szCs w:val="18"/>
      </w:rPr>
      <w:instrText xml:space="preserve"> PAGE </w:instrText>
    </w:r>
    <w:r>
      <w:rPr>
        <w:sz w:val="18"/>
        <w:i/>
        <w:szCs w:val="18"/>
      </w:rPr>
      <w:fldChar w:fldCharType="separate"/>
    </w:r>
    <w:r>
      <w:rPr>
        <w:sz w:val="18"/>
        <w:i/>
        <w:szCs w:val="18"/>
      </w:rPr>
      <w:t>3</w:t>
    </w:r>
    <w:r>
      <w:rPr>
        <w:sz w:val="18"/>
        <w:i/>
        <w:szCs w:val="18"/>
      </w:rPr>
      <w:fldChar w:fldCharType="end"/>
    </w:r>
    <w:r>
      <w:rPr>
        <w:i/>
        <w:sz w:val="18"/>
        <w:szCs w:val="18"/>
      </w:rPr>
      <w:t xml:space="preserve"> из 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  <w:b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3763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709"/>
        </w:tabs>
        <w:ind w:start="1080" w:hanging="360"/>
      </w:pPr>
      <w:rPr>
        <w:color w:val="00000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u w:val="none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color w:val="000000"/>
    </w:rPr>
  </w:style>
  <w:style w:type="character" w:styleId="WW8Num11z0">
    <w:name w:val="WW8Num11z0"/>
    <w:qFormat/>
    <w:rPr>
      <w:rFonts w:ascii="Symbol" w:hAnsi="Symbol" w:cs="Symbol"/>
      <w:color w:val="000000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0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1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2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4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5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6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7">
    <w:name w:val="Маркированный список"/>
    <w:basedOn w:val="Normal"/>
    <w:qFormat/>
    <w:pPr>
      <w:numPr>
        <w:ilvl w:val="0"/>
        <w:numId w:val="5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8">
    <w:name w:val="Подпункт"/>
    <w:basedOn w:val="Style15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19">
    <w:name w:val="Подподпункт"/>
    <w:basedOn w:val="Style18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0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2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3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4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noprint">
    <w:name w:val="noprint"/>
    <w:basedOn w:val="Normal"/>
    <w:qFormat/>
    <w:pPr>
      <w:spacing w:before="280" w:after="280"/>
    </w:pPr>
    <w:rPr/>
  </w:style>
  <w:style w:type="paragraph" w:styleId="Style25">
    <w:name w:val="Обычный (веб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2023-05-16T05:30:00Z</dcterms:created>
  <dc:creator>SvetlanaP</dc:creator>
  <dc:description/>
  <cp:keywords/>
  <dc:language>en-US</dc:language>
  <cp:lastModifiedBy>Бородинова Наталья Петровна</cp:lastModifiedBy>
  <cp:lastPrinted>2025-03-27T13:06:00Z</cp:lastPrinted>
  <dcterms:modified xsi:type="dcterms:W3CDTF">2025-12-15T08:10:00Z</dcterms:modified>
  <cp:revision>1526</cp:revision>
  <dc:subject/>
  <dc:title>Российское акционерное общество</dc:title>
</cp:coreProperties>
</file>