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center1"/>
        <w:rPr>
          <w:b/>
          <w:bCs/>
          <w:lang w:val="en-US" w:eastAsia="en-US" w:bidi="en-US"/>
        </w:rPr>
      </w:pPr>
      <w:r>
        <w:rPr>
          <w:b/>
          <w:bCs/>
          <w:lang w:val="en-US" w:eastAsia="en-US" w:bidi="en-US"/>
        </w:rPr>
        <w:t xml:space="preserve">Протокол </w:t>
      </w:r>
      <w:r>
        <w:rPr>
          <w:b/>
          <w:bCs/>
          <w:lang w:val="en-US" w:eastAsia="en-US" w:bidi="en-US"/>
        </w:rPr>
        <w:t>рассмотрения первых частей заявок</w:t>
      </w:r>
      <w:r>
        <w:rPr>
          <w:b/>
          <w:bCs/>
          <w:lang w:val="en-US" w:eastAsia="en-US" w:bidi="en-US"/>
        </w:rPr>
        <w:br/>
      </w:r>
      <w:r>
        <w:rPr>
          <w:b/>
          <w:bCs/>
          <w:lang w:val="en-US" w:eastAsia="en-US" w:bidi="en-US"/>
        </w:rPr>
        <w:t>на участие в аукционе в электронной форме</w:t>
      </w:r>
    </w:p>
    <w:p>
      <w:pPr>
        <w:pStyle w:val="headingcenter1"/>
        <w:rPr/>
      </w:pPr>
      <w:r>
        <w:rPr>
          <w:lang w:val="en-US" w:eastAsia="en-US" w:bidi="en-US"/>
        </w:rPr>
        <w:t xml:space="preserve">(№ </w:t>
      </w:r>
      <w:r>
        <w:rPr>
          <w:lang w:val="en-US" w:eastAsia="en-US" w:bidi="en-US"/>
        </w:rPr>
        <w:t>32515450605</w:t>
      </w:r>
      <w:r>
        <w:rPr/>
        <w:t>)</w:t>
      </w:r>
    </w:p>
    <w:tbl>
      <w:tblPr>
        <w:tblW w:w="5000" w:type="pct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972"/>
      </w:tblGrid>
      <w:tr>
        <w:trPr/>
        <w:tc>
          <w:tcPr>
            <w:tcW w:w="9972" w:type="dxa"/>
            <w:tcBorders/>
            <w:vAlign w:val="center"/>
          </w:tcPr>
          <w:p>
            <w:pPr>
              <w:pStyle w:val="Normal"/>
              <w:jc w:val="end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15</w:t>
            </w:r>
            <w:r>
              <w:rPr>
                <w:color w:val="000000"/>
                <w:lang w:val="en-US" w:eastAsia="en-US" w:bidi="en-US"/>
              </w:rPr>
              <w:t>.</w:t>
            </w:r>
            <w:r>
              <w:rPr>
                <w:color w:val="000000"/>
                <w:lang w:val="en-US" w:eastAsia="en-US" w:bidi="en-US"/>
              </w:rPr>
              <w:t>12</w:t>
            </w:r>
            <w:r>
              <w:rPr>
                <w:color w:val="000000"/>
                <w:lang w:val="en-US" w:eastAsia="en-US" w:bidi="en-US"/>
              </w:rPr>
              <w:t>.202</w:t>
            </w:r>
            <w:r>
              <w:rPr>
                <w:color w:val="000000"/>
                <w:lang w:val="en-US" w:eastAsia="en-US" w:bidi="en-US"/>
              </w:rPr>
              <w:t>5</w:t>
            </w:r>
          </w:p>
        </w:tc>
      </w:tr>
    </w:tbl>
    <w:p>
      <w:pPr>
        <w:pStyle w:val="Normal"/>
        <w:jc w:val="both"/>
        <w:rPr/>
      </w:pPr>
      <w:r>
        <w:rPr>
          <w:rStyle w:val="boldText"/>
          <w:lang w:val="en-US" w:eastAsia="en-US" w:bidi="en-US"/>
        </w:rPr>
        <w:t>Организатор:</w:t>
      </w:r>
      <w:r>
        <w:rPr>
          <w:lang w:val="en-US" w:eastAsia="en-US" w:bidi="en-US"/>
        </w:rPr>
        <w:t>  ФЕДЕРАЛЬНОЕ ГОСУДАРСТВЕННОЕ БЮДЖЕТНОЕ УЧРЕЖДЕНИЕ "РОССИЙСКОЕ ЭНЕРГЕТИЧЕСКОЕ АГЕНТСТВО" МИНИСТЕРСТВА ЭНЕРГЕТИКИ РОССИЙСКОЙ ФЕДЕРАЦИИ</w:t>
      </w:r>
    </w:p>
    <w:p>
      <w:pPr>
        <w:pStyle w:val="divusual1"/>
        <w:jc w:val="both"/>
        <w:rPr/>
      </w:pPr>
      <w:r>
        <w:rPr>
          <w:rStyle w:val="boldText"/>
          <w:lang w:val="en-US" w:eastAsia="en-US" w:bidi="en-US"/>
        </w:rPr>
        <w:t>Заказчик (и):</w:t>
      </w:r>
      <w:r>
        <w:rPr>
          <w:lang w:val="en-US" w:eastAsia="en-US" w:bidi="en-US"/>
        </w:rPr>
        <w:t>  ФЕДЕРАЛЬНОЕ ГОСУДАРСТВЕННОЕ БЮДЖЕТНОЕ УЧРЕЖДЕНИЕ "РОССИЙСКОЕ ЭНЕРГЕТИЧЕСКОЕ АГЕНТСТВО" МИНИСТЕРСТВА ЭНЕРГЕТИКИ РОССИЙСКОЙ ФЕДЕРАЦИИ</w:t>
      </w:r>
    </w:p>
    <w:p>
      <w:pPr>
        <w:pStyle w:val="divusual1"/>
        <w:jc w:val="both"/>
        <w:rPr/>
      </w:pPr>
      <w:r>
        <w:rPr>
          <w:rStyle w:val="boldText"/>
          <w:lang w:val="en-US" w:eastAsia="en-US" w:bidi="en-US"/>
        </w:rPr>
        <w:t>Наименование объекта закупки:</w:t>
      </w:r>
      <w:r>
        <w:rPr>
          <w:lang w:val="en-US" w:eastAsia="en-US" w:bidi="en-US"/>
        </w:rPr>
        <w:t> </w:t>
      </w:r>
      <w:r>
        <w:rPr>
          <w:lang w:val="en-US" w:eastAsia="en-US" w:bidi="en-US"/>
        </w:rPr>
        <w:t>Поставка бензина автомобильного неэтилированного АИ-95 экологического класса К5 по топливным картам через сеть АЗС в 2026 году.</w:t>
      </w:r>
    </w:p>
    <w:p>
      <w:pPr>
        <w:pStyle w:val="divusual1"/>
        <w:jc w:val="both"/>
        <w:rPr>
          <w:lang w:val="en-US" w:eastAsia="en-US" w:bidi="en-US"/>
        </w:rPr>
      </w:pPr>
      <w:r>
        <w:rPr>
          <w:rStyle w:val="boldText"/>
          <w:lang w:val="en-US" w:eastAsia="en-US" w:bidi="en-US"/>
        </w:rPr>
        <w:t>Способ определения поставщика (подрядчика/исполнителя):</w:t>
      </w:r>
      <w:r>
        <w:rPr>
          <w:lang w:val="en-US" w:eastAsia="en-US" w:bidi="en-US"/>
        </w:rPr>
        <w:t xml:space="preserve">  </w:t>
      </w:r>
      <w:r>
        <w:rPr>
          <w:lang w:val="en-US" w:eastAsia="en-US" w:bidi="en-US"/>
        </w:rPr>
        <w:t>Аукцион в электронной форме. Аукцион с двумя частями заявок.</w:t>
      </w:r>
    </w:p>
    <w:p>
      <w:pPr>
        <w:pStyle w:val="divusual1"/>
        <w:jc w:val="both"/>
        <w:rPr>
          <w:lang w:val="en-US" w:eastAsia="en-US" w:bidi="en-US"/>
        </w:rPr>
      </w:pPr>
      <w:r>
        <w:rPr>
          <w:b/>
          <w:lang w:val="en-US" w:eastAsia="en-US" w:bidi="en-US"/>
        </w:rPr>
        <w:t>Номер извещения:</w:t>
      </w:r>
      <w:r>
        <w:rPr>
          <w:lang w:val="en-US" w:eastAsia="en-US" w:bidi="en-US"/>
        </w:rPr>
        <w:t xml:space="preserve"> SBR003-250096550400005</w:t>
      </w:r>
    </w:p>
    <w:p>
      <w:pPr>
        <w:pStyle w:val="divusual1"/>
        <w:jc w:val="both"/>
        <w:rPr>
          <w:b/>
          <w:lang w:val="en-US" w:eastAsia="en-US" w:bidi="en-US"/>
        </w:rPr>
      </w:pPr>
      <w:r>
        <w:rPr>
          <w:b/>
          <w:bCs/>
        </w:rPr>
        <w:t>Начальная (максимальная) цена договора:</w:t>
      </w:r>
      <w:r>
        <w:rPr>
          <w:b/>
          <w:lang w:val="en-US" w:eastAsia="en-US" w:bidi="en-US"/>
        </w:rPr>
        <w:t xml:space="preserve"> 5 479 401,69 руб.</w:t>
      </w:r>
    </w:p>
    <w:p>
      <w:pPr>
        <w:pStyle w:val="divusual1"/>
        <w:jc w:val="both"/>
        <w:rPr>
          <w:lang w:val="en-US" w:eastAsia="en-US" w:bidi="en-US"/>
        </w:rPr>
      </w:pPr>
      <w:r>
        <w:rPr>
          <w:lang w:val="en-US" w:eastAsia="en-US" w:bidi="en-US"/>
        </w:rPr>
        <w:t xml:space="preserve">Извещение о проведении </w:t>
      </w:r>
      <w:r>
        <w:rPr>
          <w:lang w:val="en-US" w:eastAsia="en-US" w:bidi="en-US"/>
        </w:rPr>
        <w:t>аукциона в электронной форме</w:t>
      </w:r>
      <w:r>
        <w:rPr>
          <w:lang w:val="en-US" w:eastAsia="en-US" w:bidi="en-US"/>
        </w:rPr>
        <w:t xml:space="preserve"> размещено в единой информационной системе в сфере закупок (официальный сайт </w:t>
      </w:r>
      <w:r>
        <w:rPr>
          <w:u w:val="single" w:color="0000EE"/>
          <w:lang w:val="en-US" w:eastAsia="en-US" w:bidi="en-US"/>
        </w:rPr>
        <w:t>http://zakupki.gov.ru</w:t>
      </w:r>
      <w:r>
        <w:rPr>
          <w:lang w:val="en-US" w:eastAsia="en-US" w:bidi="en-US"/>
        </w:rPr>
        <w:t xml:space="preserve">) и на сайте оператора электронной площадки АО «Сбербанк-АСТ» по адресу в сети интернет  </w:t>
      </w:r>
      <w:r>
        <w:rPr>
          <w:u w:val="single" w:color="0000EE"/>
          <w:lang w:val="en-US" w:eastAsia="en-US" w:bidi="en-US"/>
        </w:rPr>
        <w:t>www.</w:t>
      </w:r>
      <w:r>
        <w:rPr>
          <w:u w:val="single" w:color="0000EE"/>
          <w:lang w:val="en-US" w:eastAsia="en-US" w:bidi="en-US"/>
        </w:rPr>
        <w:t>utp</w:t>
      </w:r>
      <w:r>
        <w:rPr>
          <w:u w:val="single" w:color="0000EE"/>
          <w:lang w:val="en-US" w:eastAsia="en-US" w:bidi="en-US"/>
        </w:rPr>
        <w:t>.</w:t>
      </w:r>
      <w:r>
        <w:rPr>
          <w:u w:val="single" w:color="0000EE"/>
          <w:lang w:val="en-US" w:eastAsia="en-US" w:bidi="en-US"/>
        </w:rPr>
        <w:t>sberbank-ast.ru</w:t>
      </w:r>
      <w:r>
        <w:rPr>
          <w:lang w:val="en-US" w:eastAsia="en-US" w:bidi="en-US"/>
        </w:rPr>
        <w:t xml:space="preserve"> 26.11.2025.</w:t>
      </w:r>
    </w:p>
    <w:p>
      <w:pPr>
        <w:pStyle w:val="divusual1"/>
        <w:rPr>
          <w:lang w:val="en-US" w:eastAsia="en-US" w:bidi="en-US"/>
        </w:rPr>
      </w:pPr>
      <w:r>
        <w:rPr>
          <w:lang w:val="en-US" w:eastAsia="en-US" w:bidi="en-US"/>
        </w:rPr>
      </w:r>
    </w:p>
    <w:p>
      <w:pPr>
        <w:pStyle w:val="divusual1"/>
        <w:rPr/>
      </w:pPr>
      <w:r>
        <w:rPr/>
        <w:t>Состав комиссии:</w:t>
      </w:r>
    </w:p>
    <w:tbl>
      <w:tblPr>
        <w:tblW w:w="5000" w:type="pct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905"/>
        <w:gridCol w:w="6067"/>
      </w:tblGrid>
      <w:tr>
        <w:trPr/>
        <w:tc>
          <w:tcPr>
            <w:tcW w:w="9972" w:type="dxa"/>
            <w:gridSpan w:val="2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На заседании комиссии присутствовали:</w:t>
            </w:r>
          </w:p>
        </w:tc>
      </w:tr>
      <w:tr>
        <w:trPr/>
        <w:tc>
          <w:tcPr>
            <w:tcW w:w="3905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Председатель</w:t>
            </w:r>
            <w:r>
              <w:rPr>
                <w:color w:val="000000"/>
                <w:lang w:val="en-US" w:eastAsia="en-US" w:bidi="en-US"/>
              </w:rPr>
              <w:t xml:space="preserve"> комиссии</w:t>
            </w:r>
          </w:p>
        </w:tc>
        <w:tc>
          <w:tcPr>
            <w:tcW w:w="6067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Древинскайте Йоланта Сауляус</w:t>
            </w:r>
          </w:p>
        </w:tc>
      </w:tr>
      <w:tr>
        <w:trPr/>
        <w:tc>
          <w:tcPr>
            <w:tcW w:w="3905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6067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Азаров Сергей Александрович</w:t>
            </w:r>
          </w:p>
        </w:tc>
      </w:tr>
      <w:tr>
        <w:trPr/>
        <w:tc>
          <w:tcPr>
            <w:tcW w:w="3905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60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Андрющенко Ирина Николаевна</w:t>
            </w:r>
          </w:p>
        </w:tc>
      </w:tr>
      <w:tr>
        <w:trPr/>
        <w:tc>
          <w:tcPr>
            <w:tcW w:w="3905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60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Аствацатуров Сергей Александрович</w:t>
            </w:r>
          </w:p>
        </w:tc>
      </w:tr>
      <w:tr>
        <w:trPr/>
        <w:tc>
          <w:tcPr>
            <w:tcW w:w="3905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60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Курякова Анна Сергеевна</w:t>
            </w:r>
          </w:p>
        </w:tc>
      </w:tr>
      <w:tr>
        <w:trPr/>
        <w:tc>
          <w:tcPr>
            <w:tcW w:w="3905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6067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/>
              <w:t>Петрунин Александр Леонидович</w:t>
            </w:r>
          </w:p>
        </w:tc>
      </w:tr>
      <w:tr>
        <w:trPr/>
        <w:tc>
          <w:tcPr>
            <w:tcW w:w="3905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Секретарь комиссии</w:t>
            </w:r>
          </w:p>
        </w:tc>
        <w:tc>
          <w:tcPr>
            <w:tcW w:w="6067" w:type="dxa"/>
            <w:tcBorders/>
            <w:vAlign w:val="center"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Зазов Василий Алексеевич</w:t>
            </w:r>
          </w:p>
        </w:tc>
      </w:tr>
    </w:tbl>
    <w:p>
      <w:pPr>
        <w:pStyle w:val="divusual1"/>
        <w:spacing w:before="0" w:after="200"/>
        <w:rPr/>
      </w:pPr>
      <w:r>
        <w:rPr>
          <w:lang w:val="en-US" w:eastAsia="en-US" w:bidi="en-US"/>
        </w:rPr>
        <w:t xml:space="preserve">Всего на заседании присутствовало </w:t>
      </w:r>
      <w:r>
        <w:rPr>
          <w:lang w:val="en-US" w:eastAsia="en-US" w:bidi="en-US"/>
        </w:rPr>
        <w:t>7</w:t>
      </w:r>
      <w:r>
        <w:rPr>
          <w:lang w:val="en-US" w:eastAsia="en-US" w:bidi="en-US"/>
        </w:rPr>
        <w:t xml:space="preserve"> членов комиссии. Кворум имеется</w:t>
      </w:r>
      <w:r>
        <w:rPr>
          <w:lang w:val="en-US" w:eastAsia="en-US" w:bidi="en-US"/>
        </w:rPr>
        <w:t>.</w:t>
      </w:r>
      <w:r>
        <w:rPr/>
        <w:t> </w:t>
      </w:r>
    </w:p>
    <w:tbl>
      <w:tblPr>
        <w:tblW w:w="5000" w:type="pct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972"/>
      </w:tblGrid>
      <w:tr>
        <w:trPr/>
        <w:tc>
          <w:tcPr>
            <w:tcW w:w="9972" w:type="dxa"/>
            <w:tcBorders/>
            <w:vAlign w:val="center"/>
          </w:tcPr>
          <w:p>
            <w:pPr>
              <w:pStyle w:val="Normal"/>
              <w:widowControl w:val="false"/>
              <w:spacing w:before="0" w:after="60"/>
              <w:jc w:val="center"/>
              <w:rPr/>
            </w:pPr>
            <w:r>
              <w:rPr>
                <w:b/>
                <w:bCs/>
                <w:color w:val="000000"/>
                <w:lang w:val="en-US" w:eastAsia="en-US" w:bidi="en-US"/>
              </w:rPr>
              <w:t xml:space="preserve">Общие сведения об итогах </w:t>
            </w:r>
            <w:r>
              <w:rPr>
                <w:b/>
                <w:bCs/>
                <w:color w:val="000000"/>
                <w:lang w:val="en-US" w:eastAsia="en-US" w:bidi="en-US"/>
              </w:rPr>
              <w:t>рассмотрения первых частей заявок</w:t>
            </w:r>
            <w:r>
              <w:rPr/>
              <w:t> </w:t>
            </w:r>
          </w:p>
        </w:tc>
      </w:tr>
      <w:tr>
        <w:trPr/>
        <w:tc>
          <w:tcPr>
            <w:tcW w:w="9972" w:type="dxa"/>
            <w:tcBorders/>
            <w:vAlign w:val="center"/>
          </w:tcPr>
          <w:tbl>
            <w:tblPr>
              <w:tblW w:w="10046" w:type="dxa"/>
              <w:jc w:val="start"/>
              <w:tblInd w:w="1" w:type="dxa"/>
              <w:tblLayout w:type="fixed"/>
              <w:tblCellMar>
                <w:top w:w="52" w:type="dxa"/>
                <w:start w:w="52" w:type="dxa"/>
                <w:bottom w:w="52" w:type="dxa"/>
                <w:end w:w="52" w:type="dxa"/>
              </w:tblCellMar>
            </w:tblPr>
            <w:tblGrid>
              <w:gridCol w:w="2602"/>
              <w:gridCol w:w="2779"/>
              <w:gridCol w:w="3106"/>
              <w:gridCol w:w="1559"/>
            </w:tblGrid>
            <w:tr>
              <w:trPr>
                <w:tblHeader w:val="true"/>
              </w:trPr>
              <w:tc>
                <w:tcPr>
                  <w:tcW w:w="2602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Номер заявки</w:t>
                  </w:r>
                </w:p>
              </w:tc>
              <w:tc>
                <w:tcPr>
                  <w:tcW w:w="2779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/>
                  </w:pPr>
                  <w:r>
                    <w:rPr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Дата и время регистрации заявки</w:t>
                  </w:r>
                </w:p>
              </w:tc>
              <w:tc>
                <w:tcPr>
                  <w:tcW w:w="3106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Результат рассмотрения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Причина отклонения</w:t>
                  </w:r>
                </w:p>
              </w:tc>
            </w:tr>
            <w:tr>
              <w:trPr/>
              <w:tc>
                <w:tcPr>
                  <w:tcW w:w="2602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7796</w:t>
                  </w:r>
                </w:p>
              </w:tc>
              <w:tc>
                <w:tcPr>
                  <w:tcW w:w="2779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11.12.2025 16:10:26</w:t>
                  </w:r>
                </w:p>
              </w:tc>
              <w:tc>
                <w:tcPr>
                  <w:tcW w:w="3106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/>
              <w:tc>
                <w:tcPr>
                  <w:tcW w:w="2602" w:type="dxa"/>
                  <w:tcBorders>
                    <w:top w:val="single" w:sz="6" w:space="0" w:color="000000"/>
                    <w:start w:val="single" w:sz="6" w:space="0" w:color="000000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8675</w:t>
                  </w:r>
                </w:p>
              </w:tc>
              <w:tc>
                <w:tcPr>
                  <w:tcW w:w="2779" w:type="dxa"/>
                  <w:tcBorders>
                    <w:top w:val="single" w:sz="6" w:space="0" w:color="000000"/>
                    <w:start w:val="single" w:sz="6" w:space="0" w:color="000000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11.12.2025 15:07:25</w:t>
                  </w:r>
                </w:p>
              </w:tc>
              <w:tc>
                <w:tcPr>
                  <w:tcW w:w="3106" w:type="dxa"/>
                  <w:tcBorders>
                    <w:top w:val="single" w:sz="6" w:space="0" w:color="000000"/>
                    <w:start w:val="single" w:sz="6" w:space="0" w:color="000000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559" w:type="dxa"/>
                  <w:tcBorders>
                    <w:top w:val="single" w:sz="6" w:space="0" w:color="000000"/>
                    <w:start w:val="single" w:sz="6" w:space="0" w:color="000000"/>
                    <w:bottom w:val="single" w:sz="4" w:space="0" w:color="000000"/>
                    <w:end w:val="single" w:sz="6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</w:tbl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972"/>
      </w:tblGrid>
      <w:tr>
        <w:trPr/>
        <w:tc>
          <w:tcPr>
            <w:tcW w:w="9972" w:type="dxa"/>
            <w:tcBorders/>
            <w:vAlign w:val="center"/>
          </w:tcPr>
          <w:p>
            <w:pPr>
              <w:pStyle w:val="Normal"/>
              <w:widowControl w:val="false"/>
              <w:spacing w:before="0" w:after="120"/>
              <w:jc w:val="center"/>
              <w:rPr/>
            </w:pPr>
            <w:r>
              <w:rPr/>
              <w:t>Информация о принятом решении каждым членом комиссии</w:t>
            </w:r>
          </w:p>
          <w:tbl>
            <w:tblPr>
              <w:tblW w:w="1004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8"/>
              <w:gridCol w:w="3941"/>
              <w:gridCol w:w="1985"/>
              <w:gridCol w:w="1704"/>
            </w:tblGrid>
            <w:tr>
              <w:trPr/>
              <w:tc>
                <w:tcPr>
                  <w:tcW w:w="2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keepNext w:val="true"/>
                    <w:keepLines/>
                    <w:jc w:val="center"/>
                    <w:rPr/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Номер заявки</w:t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keepNext w:val="true"/>
                    <w:keepLines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Ф.И.О. члена комиссии / Общее решение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keepNext w:val="true"/>
                    <w:keepLines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Решение по заявке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keepNext w:val="true"/>
                    <w:keepLines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Причина отклонения</w:t>
                  </w:r>
                </w:p>
              </w:tc>
            </w:tr>
            <w:tr>
              <w:trPr/>
              <w:tc>
                <w:tcPr>
                  <w:tcW w:w="2418" w:type="dxa"/>
                  <w:vMerge w:val="restart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7796</w:t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Древинскайте Йоланта Сауляус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/>
              <w:tc>
                <w:tcPr>
                  <w:tcW w:w="2418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Азаров Сергей Александрович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/>
              <w:tc>
                <w:tcPr>
                  <w:tcW w:w="2418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Андрющенко Ирина Николаевна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/>
              <w:tc>
                <w:tcPr>
                  <w:tcW w:w="2418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Аствацатуров Сергей Александрович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/>
              <w:tc>
                <w:tcPr>
                  <w:tcW w:w="2418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Курякова Анна Сергеевна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/>
              <w:tc>
                <w:tcPr>
                  <w:tcW w:w="2418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Петрунин Александр Леонидович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/>
              <w:tc>
                <w:tcPr>
                  <w:tcW w:w="2418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Зазов Василий Алексеевич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Общее решение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sz w:val="21"/>
                      <w:szCs w:val="21"/>
                      <w:lang w:val="en-US" w:eastAsia="en-US" w:bidi="en-US"/>
                    </w:rPr>
                    <w:t>8675</w:t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Древинскайте Йоланта Сауляус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Азаров Сергей Александрович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Андрющенко Ирина Николаевна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Аствацатуров Сергей Александрович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Курякова Анна Сергеевна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Петрунин Александр Леонидович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rPr/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Зазов Василий Алексеевич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2418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napToGrid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r>
                </w:p>
              </w:tc>
              <w:tc>
                <w:tcPr>
                  <w:tcW w:w="394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Общее решение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Допущена</w:t>
                  </w:r>
                </w:p>
              </w:tc>
              <w:tc>
                <w:tcPr>
                  <w:tcW w:w="17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jc w:val="center"/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</w:pPr>
                  <w:r>
                    <w:rPr>
                      <w:rFonts w:eastAsia="Calibri"/>
                      <w:bCs/>
                      <w:color w:val="000000"/>
                      <w:sz w:val="21"/>
                      <w:szCs w:val="21"/>
                      <w:lang w:val="en-US" w:eastAsia="en-US" w:bidi="en-US"/>
                    </w:rPr>
                    <w:t>-</w:t>
                  </w:r>
                </w:p>
              </w:tc>
            </w:tr>
          </w:tbl>
          <w:p>
            <w:pPr>
              <w:pStyle w:val="Normal"/>
              <w:keepNext w:val="true"/>
              <w:keepLines/>
              <w:jc w:val="center"/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en-US" w:eastAsia="en-US" w:bidi="en-US"/>
              </w:rPr>
            </w:r>
          </w:p>
        </w:tc>
      </w:tr>
    </w:tbl>
    <w:p>
      <w:pPr>
        <w:pStyle w:val="divusual1"/>
        <w:ind w:firstLine="567" w:end="0"/>
        <w:jc w:val="both"/>
        <w:rPr>
          <w:bCs/>
          <w:lang w:val="en-US" w:eastAsia="en-US" w:bidi="en-US"/>
        </w:rPr>
      </w:pPr>
      <w:r>
        <w:rPr>
          <w:bCs/>
          <w:lang w:val="en-US" w:eastAsia="en-US" w:bidi="en-US"/>
        </w:rPr>
      </w:r>
    </w:p>
    <w:p>
      <w:pPr>
        <w:pStyle w:val="divusual1"/>
        <w:spacing w:before="240" w:after="0"/>
        <w:rPr/>
      </w:pPr>
      <w:r>
        <w:rPr/>
        <w:t>Комиссия:</w:t>
      </w:r>
    </w:p>
    <w:tbl>
      <w:tblPr>
        <w:tblW w:w="4950" w:type="pct"/>
        <w:jc w:val="start"/>
        <w:tblInd w:w="-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924"/>
        <w:gridCol w:w="1949"/>
        <w:gridCol w:w="3999"/>
      </w:tblGrid>
      <w:tr>
        <w:trPr/>
        <w:tc>
          <w:tcPr>
            <w:tcW w:w="3924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Председатель комиссии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_____________</w:t>
            </w:r>
          </w:p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en-US" w:eastAsia="en-US" w:bidi="en-US"/>
              </w:rPr>
              <w:t>(Подпись)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Древинскайте Йоланта Сауляус</w:t>
            </w:r>
          </w:p>
        </w:tc>
      </w:tr>
      <w:tr>
        <w:trPr/>
        <w:tc>
          <w:tcPr>
            <w:tcW w:w="3924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_____________</w:t>
            </w:r>
          </w:p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en-US" w:eastAsia="en-US" w:bidi="en-US"/>
              </w:rPr>
              <w:t>(Подпись)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bCs/>
                <w:color w:val="000000"/>
                <w:lang w:val="en-US" w:eastAsia="en-US" w:bidi="en-US"/>
              </w:rPr>
              <w:t>Азаров Сергей Александрович</w:t>
            </w:r>
          </w:p>
        </w:tc>
      </w:tr>
      <w:tr>
        <w:trPr/>
        <w:tc>
          <w:tcPr>
            <w:tcW w:w="3924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_____________</w:t>
            </w:r>
          </w:p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en-US" w:eastAsia="en-US" w:bidi="en-US"/>
              </w:rPr>
              <w:t>(Подпись)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rFonts w:eastAsia="Calibri"/>
                <w:bCs/>
                <w:color w:val="000000"/>
                <w:lang w:val="en-US" w:eastAsia="en-US" w:bidi="en-US"/>
              </w:rPr>
              <w:t>Андрющенко Ирина Николаевна</w:t>
            </w:r>
          </w:p>
        </w:tc>
      </w:tr>
      <w:tr>
        <w:trPr/>
        <w:tc>
          <w:tcPr>
            <w:tcW w:w="3924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_____________</w:t>
            </w:r>
          </w:p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en-US" w:eastAsia="en-US" w:bidi="en-US"/>
              </w:rPr>
              <w:t>(Подпись)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1"/>
              <w:rPr>
                <w:rFonts w:eastAsia="Calibri"/>
                <w:bCs/>
                <w:color w:val="000000"/>
                <w:lang w:val="en-US" w:eastAsia="en-US" w:bidi="en-US"/>
              </w:rPr>
            </w:pPr>
            <w:r>
              <w:rPr>
                <w:rFonts w:eastAsia="Calibri"/>
                <w:bCs/>
                <w:color w:val="000000"/>
                <w:lang w:val="en-US" w:eastAsia="en-US" w:bidi="en-US"/>
              </w:rPr>
              <w:t>Аствацатуров Сергей Александрович</w:t>
            </w:r>
          </w:p>
        </w:tc>
      </w:tr>
      <w:tr>
        <w:trPr/>
        <w:tc>
          <w:tcPr>
            <w:tcW w:w="3924" w:type="dxa"/>
            <w:tcBorders/>
          </w:tcPr>
          <w:p>
            <w:pPr>
              <w:pStyle w:val="Normal"/>
              <w:widowControl w:val="false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_____________</w:t>
            </w:r>
          </w:p>
          <w:p>
            <w:pPr>
              <w:pStyle w:val="Normal"/>
              <w:widowControl w:val="false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en-US" w:eastAsia="en-US" w:bidi="en-US"/>
              </w:rPr>
              <w:t>(Подпись)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1"/>
              <w:rPr>
                <w:rFonts w:eastAsia="Calibri"/>
                <w:bCs/>
                <w:color w:val="000000"/>
                <w:lang w:val="en-US" w:eastAsia="en-US" w:bidi="en-US"/>
              </w:rPr>
            </w:pPr>
            <w:r>
              <w:rPr>
                <w:rFonts w:eastAsia="Calibri"/>
                <w:bCs/>
                <w:color w:val="000000"/>
                <w:lang w:val="en-US" w:eastAsia="en-US" w:bidi="en-US"/>
              </w:rPr>
              <w:t>Курякова Анна Сергеевна</w:t>
            </w:r>
          </w:p>
        </w:tc>
      </w:tr>
      <w:tr>
        <w:trPr/>
        <w:tc>
          <w:tcPr>
            <w:tcW w:w="3924" w:type="dxa"/>
            <w:tcBorders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Член комиссии</w:t>
            </w:r>
          </w:p>
        </w:tc>
        <w:tc>
          <w:tcPr>
            <w:tcW w:w="1949" w:type="dxa"/>
            <w:tcBorders/>
          </w:tcPr>
          <w:p>
            <w:pPr>
              <w:pStyle w:val="Normal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_____________</w:t>
            </w:r>
          </w:p>
          <w:p>
            <w:pPr>
              <w:pStyle w:val="Normal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en-US" w:eastAsia="en-US" w:bidi="en-US"/>
              </w:rPr>
              <w:t>(Подпись)</w:t>
            </w:r>
          </w:p>
        </w:tc>
        <w:tc>
          <w:tcPr>
            <w:tcW w:w="3999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1"/>
              <w:rPr>
                <w:color w:val="000000"/>
                <w:lang w:val="en-US" w:eastAsia="en-US" w:bidi="en-US"/>
              </w:rPr>
            </w:pPr>
            <w:r>
              <w:rPr/>
              <w:t>Петрунин Александр Леонидович</w:t>
            </w:r>
          </w:p>
        </w:tc>
      </w:tr>
      <w:tr>
        <w:trPr/>
        <w:tc>
          <w:tcPr>
            <w:tcW w:w="3924" w:type="dxa"/>
            <w:tcBorders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Секретарь комиссии</w:t>
            </w:r>
          </w:p>
        </w:tc>
        <w:tc>
          <w:tcPr>
            <w:tcW w:w="1949" w:type="dxa"/>
            <w:tcBorders/>
          </w:tcPr>
          <w:p>
            <w:pPr>
              <w:pStyle w:val="Normal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_____________</w:t>
            </w:r>
          </w:p>
          <w:p>
            <w:pPr>
              <w:pStyle w:val="Normal"/>
              <w:ind w:start="106" w:end="0"/>
              <w:jc w:val="center"/>
              <w:rPr>
                <w:color w:val="000000"/>
                <w:lang w:val="en-US" w:eastAsia="en-US" w:bidi="en-US"/>
              </w:rPr>
            </w:pPr>
            <w:r>
              <w:rPr>
                <w:i/>
                <w:iCs/>
                <w:color w:val="000000"/>
                <w:sz w:val="16"/>
                <w:szCs w:val="16"/>
                <w:lang w:val="en-US" w:eastAsia="en-US" w:bidi="en-US"/>
              </w:rPr>
              <w:t>(Подпись)</w:t>
            </w:r>
          </w:p>
        </w:tc>
        <w:tc>
          <w:tcPr>
            <w:tcW w:w="3999" w:type="dxa"/>
            <w:tcBorders/>
          </w:tcPr>
          <w:p>
            <w:pPr>
              <w:pStyle w:val="Normal"/>
              <w:rPr>
                <w:color w:val="000000"/>
                <w:lang w:val="en-US" w:eastAsia="en-US" w:bidi="en-US"/>
              </w:rPr>
            </w:pPr>
            <w:r>
              <w:rPr>
                <w:color w:val="000000"/>
                <w:lang w:val="en-US" w:eastAsia="en-US" w:bidi="en-US"/>
              </w:rPr>
              <w:t>Зазов Василий Алексеевич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footerReference w:type="default" r:id="rId2"/>
      <w:footerReference w:type="first" r:id="rId3"/>
      <w:type w:val="nextPage"/>
      <w:pgSz w:w="12240" w:h="15840"/>
      <w:pgMar w:left="1418" w:right="850" w:gutter="0" w:header="0" w:top="993" w:footer="532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rFonts w:ascii="Symbol" w:hAnsi="Symbol" w:cs="Symbol"/>
      <w:color w:val="00000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b w:val="false"/>
    </w:rPr>
  </w:style>
  <w:style w:type="character" w:styleId="Style14">
    <w:name w:val="Основной шрифт абзаца"/>
    <w:qFormat/>
    <w:rPr/>
  </w:style>
  <w:style w:type="character" w:styleId="boldText">
    <w:name w:val="boldText"/>
    <w:qFormat/>
    <w:rPr>
      <w:b/>
      <w:bCs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4"/>
    <w:qFormat/>
    <w:rPr/>
  </w:style>
  <w:style w:type="character" w:styleId="Style19">
    <w:name w:val="Тема примечания Знак"/>
    <w:qFormat/>
    <w:rPr>
      <w:b/>
      <w:bCs/>
    </w:rPr>
  </w:style>
  <w:style w:type="character" w:styleId="Style20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ingcenter1">
    <w:name w:val="headingcenter1"/>
    <w:basedOn w:val="Normal"/>
    <w:qFormat/>
    <w:pPr>
      <w:jc w:val="center"/>
    </w:pPr>
    <w:rPr>
      <w:rFonts w:ascii="Times New Roman" w:hAnsi="Times New Roman" w:eastAsia="Times New Roman" w:cs="Times New Roman"/>
      <w:b w:val="false"/>
      <w:bCs w:val="false"/>
      <w:sz w:val="28"/>
      <w:szCs w:val="28"/>
    </w:rPr>
  </w:style>
  <w:style w:type="paragraph" w:styleId="divusual1">
    <w:name w:val="div_usual1"/>
    <w:basedOn w:val="Normal"/>
    <w:qFormat/>
    <w:pPr/>
    <w:rPr>
      <w:rFonts w:ascii="Times New Roman" w:hAnsi="Times New Roman" w:eastAsia="Times New Roman" w:cs="Times New Roman"/>
    </w:rPr>
  </w:style>
  <w:style w:type="paragraph" w:styleId="commonText">
    <w:name w:val="commonText"/>
    <w:basedOn w:val="Normal"/>
    <w:qFormat/>
    <w:pPr>
      <w:pBdr/>
      <w:jc w:val="both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1">
    <w:name w:val="Текст примечания"/>
    <w:basedOn w:val="Normal"/>
    <w:qFormat/>
    <w:pPr/>
    <w:rPr>
      <w:sz w:val="20"/>
      <w:szCs w:val="20"/>
    </w:rPr>
  </w:style>
  <w:style w:type="paragraph" w:styleId="Style22">
    <w:name w:val="Тема примечания"/>
    <w:basedOn w:val="Style21"/>
    <w:next w:val="Style21"/>
    <w:qFormat/>
    <w:pPr/>
    <w:rPr>
      <w:b/>
      <w:bCs/>
    </w:rPr>
  </w:style>
  <w:style w:type="paragraph" w:styleId="Style23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2025-12-12T11:29:00Z</dcterms:created>
  <dc:creator>Мороз Михаил Александрович</dc:creator>
  <dc:description/>
  <cp:keywords/>
  <dc:language>en-US</dc:language>
  <cp:lastModifiedBy>Мороз Михаил Александрович</cp:lastModifiedBy>
  <cp:lastPrinted>2023-12-04T14:39:00Z</cp:lastPrinted>
  <dcterms:modified xsi:type="dcterms:W3CDTF">2025-12-12T11:37:00Z</dcterms:modified>
  <cp:revision>3</cp:revision>
  <dc:subject/>
  <dc:title/>
</cp:coreProperties>
</file>