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jc w:val="center"/>
        <w:outlineLvl w:val="1"/>
        <w:rPr>
          <w:b/>
          <w:bCs/>
          <w:kern w:val="2"/>
          <w:sz w:val="21"/>
          <w:szCs w:val="21"/>
        </w:rPr>
      </w:pPr>
      <w:r>
        <w:rPr>
          <w:b/>
          <w:bCs/>
          <w:kern w:val="2"/>
          <w:sz w:val="21"/>
          <w:szCs w:val="21"/>
        </w:rPr>
        <w:t>Протокол для способа «Закупка у единственного поставщика» № 32514574518</w:t>
      </w:r>
    </w:p>
    <w:p>
      <w:pPr>
        <w:pStyle w:val="Normal"/>
        <w:numPr>
          <w:ilvl w:val="0"/>
          <w:numId w:val="0"/>
        </w:numPr>
        <w:outlineLvl w:val="1"/>
        <w:rPr>
          <w:b/>
          <w:bCs/>
          <w:kern w:val="2"/>
          <w:sz w:val="21"/>
          <w:szCs w:val="21"/>
        </w:rPr>
      </w:pPr>
      <w:r>
        <w:rPr>
          <w:b/>
          <w:bCs/>
          <w:kern w:val="2"/>
          <w:sz w:val="21"/>
          <w:szCs w:val="21"/>
        </w:rPr>
      </w:r>
    </w:p>
    <w:p>
      <w:pPr>
        <w:pStyle w:val="Normal"/>
        <w:numPr>
          <w:ilvl w:val="0"/>
          <w:numId w:val="0"/>
        </w:numPr>
        <w:outlineLvl w:val="1"/>
        <w:rPr>
          <w:sz w:val="21"/>
          <w:szCs w:val="21"/>
        </w:rPr>
      </w:pPr>
      <w:r>
        <w:rPr>
          <w:sz w:val="21"/>
          <w:szCs w:val="21"/>
        </w:rPr>
        <w:t>03 марта 2025 г.</w:t>
      </w:r>
    </w:p>
    <w:p>
      <w:pPr>
        <w:pStyle w:val="Normal"/>
        <w:rPr/>
      </w:pPr>
      <w:r>
        <w:rPr>
          <w:sz w:val="21"/>
          <w:szCs w:val="21"/>
        </w:rPr>
        <w:t>1. Наименование и способ проведения закупки:</w:t>
      </w:r>
      <w:r>
        <w:rPr>
          <w:rFonts w:cs="Arial" w:ascii="Arial" w:hAnsi="Arial"/>
          <w:b/>
          <w:bCs/>
          <w:color w:val="484848"/>
          <w:sz w:val="17"/>
          <w:szCs w:val="17"/>
          <w:shd w:fill="FFFFFF" w:val="clear"/>
        </w:rPr>
        <w:t xml:space="preserve"> </w:t>
      </w:r>
      <w:r>
        <w:rPr>
          <w:b/>
          <w:i/>
        </w:rPr>
        <w:t>Поставка бензина автомобильного для нужд филиала ФБУЗ "ЦГиЭ в РО" в городе Шахты.</w:t>
      </w:r>
    </w:p>
    <w:p>
      <w:pPr>
        <w:pStyle w:val="offset251"/>
        <w:spacing w:before="0" w:after="0"/>
        <w:rPr/>
      </w:pPr>
      <w:r>
        <w:rPr>
          <w:bCs/>
          <w:sz w:val="21"/>
          <w:szCs w:val="21"/>
        </w:rPr>
        <w:t>способ проведения закупки – Закупка у единственного поставщика (исполнителя, подрядчика)</w:t>
      </w:r>
      <w:r>
        <w:rPr>
          <w:sz w:val="21"/>
          <w:szCs w:val="21"/>
        </w:rPr>
        <w:t xml:space="preserve"> </w:t>
      </w:r>
    </w:p>
    <w:p>
      <w:pPr>
        <w:pStyle w:val="Heading3"/>
        <w:spacing w:before="0" w:after="0"/>
        <w:ind w:hanging="0" w:start="0"/>
        <w:rPr>
          <w:b w:val="false"/>
          <w:sz w:val="21"/>
          <w:szCs w:val="21"/>
        </w:rPr>
      </w:pPr>
      <w:r>
        <w:rPr>
          <w:b w:val="false"/>
          <w:sz w:val="21"/>
          <w:szCs w:val="21"/>
        </w:rPr>
        <w:t>2. Заказчик</w:t>
      </w:r>
    </w:p>
    <w:p>
      <w:pPr>
        <w:pStyle w:val="offset251"/>
        <w:spacing w:before="0" w:after="0"/>
        <w:rPr>
          <w:sz w:val="21"/>
          <w:szCs w:val="21"/>
        </w:rPr>
      </w:pPr>
      <w:r>
        <w:rPr>
          <w:sz w:val="21"/>
          <w:szCs w:val="21"/>
        </w:rPr>
        <w:t>Федеральное бюджетное учреждение здравоохранения "Центр гигиены и эпидемиологии в Ростовской области" (ИНН 6167080156, КПП 616701001)</w:t>
      </w:r>
    </w:p>
    <w:p>
      <w:pPr>
        <w:pStyle w:val="Normal"/>
        <w:rPr>
          <w:b/>
          <w:i/>
          <w:i/>
        </w:rPr>
      </w:pPr>
      <w:r>
        <w:rPr>
          <w:b/>
          <w:sz w:val="21"/>
          <w:szCs w:val="21"/>
        </w:rPr>
        <w:t>3. Предмет договора:</w:t>
      </w:r>
      <w:r>
        <w:rPr>
          <w:b/>
        </w:rPr>
        <w:t xml:space="preserve"> </w:t>
      </w:r>
      <w:r>
        <w:rPr>
          <w:b/>
          <w:i/>
        </w:rPr>
        <w:t>Поставка бензина автомобильного для нужд филиала ФБУЗ "ЦГиЭ в РО" в городе Шахты.</w:t>
      </w:r>
    </w:p>
    <w:p>
      <w:pPr>
        <w:pStyle w:val="Normal"/>
        <w:rPr/>
      </w:pPr>
      <w:r>
        <w:rPr>
          <w:i/>
        </w:rPr>
        <w:t>Количество поставляемого товара</w:t>
      </w:r>
      <w:r>
        <w:rPr/>
        <w:t xml:space="preserve">: </w:t>
      </w:r>
      <w:r>
        <w:rPr>
          <w:bCs/>
        </w:rPr>
        <w:t>бензин АИ-92 - 3324 л.; бензин АИ-95 – 200 л.</w:t>
      </w:r>
    </w:p>
    <w:p>
      <w:pPr>
        <w:pStyle w:val="Normal"/>
        <w:rPr/>
      </w:pPr>
      <w:r>
        <w:rPr>
          <w:i/>
        </w:rPr>
        <w:t>Место поставки товара:</w:t>
      </w:r>
      <w:r>
        <w:rPr/>
        <w:t xml:space="preserve"> Поставщик осуществляет отпуск нефтепродуктов путем заправки автотранспорта Заказчика по топливным картам на АЗС.</w:t>
      </w:r>
    </w:p>
    <w:p>
      <w:pPr>
        <w:pStyle w:val="Normal"/>
        <w:rPr/>
      </w:pPr>
      <w:r>
        <w:rPr>
          <w:sz w:val="21"/>
          <w:szCs w:val="21"/>
        </w:rPr>
        <w:t xml:space="preserve">Начальная (максимальная) цена договора: </w:t>
      </w:r>
      <w:r>
        <w:rPr/>
        <w:t>199 973,60 (сто девяносто девять тысяч девятьсот семьдесят три) рубля 60 копеек, в т. ч. НДС 20%.</w:t>
      </w:r>
    </w:p>
    <w:p>
      <w:pPr>
        <w:pStyle w:val="offset251"/>
        <w:spacing w:before="0" w:after="0"/>
        <w:ind w:start="0" w:end="0"/>
        <w:rPr>
          <w:sz w:val="21"/>
          <w:szCs w:val="21"/>
        </w:rPr>
      </w:pPr>
      <w:r>
        <w:rPr>
          <w:sz w:val="21"/>
          <w:szCs w:val="21"/>
        </w:rPr>
      </w:r>
    </w:p>
    <w:p>
      <w:pPr>
        <w:pStyle w:val="Heading3"/>
        <w:spacing w:before="0" w:after="0"/>
        <w:ind w:hanging="0" w:start="0"/>
        <w:rPr>
          <w:b w:val="false"/>
          <w:sz w:val="21"/>
          <w:szCs w:val="21"/>
        </w:rPr>
      </w:pPr>
      <w:r>
        <w:rPr>
          <w:b w:val="false"/>
          <w:sz w:val="21"/>
          <w:szCs w:val="21"/>
        </w:rPr>
        <w:t>4. Процедура рассмотрения и оценки предложений участников закупки</w:t>
      </w:r>
    </w:p>
    <w:p>
      <w:pPr>
        <w:pStyle w:val="offset251"/>
        <w:spacing w:before="0" w:after="0"/>
        <w:rPr/>
      </w:pPr>
      <w:r>
        <w:rPr>
          <w:sz w:val="21"/>
          <w:szCs w:val="21"/>
        </w:rPr>
        <w:t>предложения участников закупки не рассматриваются, итоги закупки не подводятся.</w:t>
      </w:r>
    </w:p>
    <w:p>
      <w:pPr>
        <w:pStyle w:val="offset251"/>
        <w:spacing w:before="0" w:after="0"/>
        <w:rPr>
          <w:sz w:val="21"/>
          <w:szCs w:val="21"/>
        </w:rPr>
      </w:pPr>
      <w:r>
        <w:rPr>
          <w:sz w:val="21"/>
          <w:szCs w:val="21"/>
        </w:rPr>
        <w:t>Комиссия приняла решение: заключить договор с единственным поставщиком на основании п. 25.2.35 Положения о закупке Заказчика.</w:t>
      </w:r>
    </w:p>
    <w:p>
      <w:pPr>
        <w:pStyle w:val="offset251"/>
        <w:spacing w:before="0" w:after="0"/>
        <w:rPr>
          <w:sz w:val="21"/>
          <w:szCs w:val="21"/>
        </w:rPr>
      </w:pPr>
      <w:r>
        <w:rPr>
          <w:sz w:val="21"/>
          <w:szCs w:val="21"/>
        </w:rPr>
      </w:r>
    </w:p>
    <w:p>
      <w:pPr>
        <w:pStyle w:val="Heading3"/>
        <w:spacing w:before="0" w:after="0"/>
        <w:ind w:hanging="0" w:start="0"/>
        <w:rPr>
          <w:b w:val="false"/>
          <w:sz w:val="21"/>
          <w:szCs w:val="21"/>
        </w:rPr>
      </w:pPr>
      <w:r>
        <w:rPr>
          <w:b w:val="false"/>
          <w:sz w:val="21"/>
          <w:szCs w:val="21"/>
        </w:rPr>
        <w:t>5. Подписи</w:t>
      </w:r>
    </w:p>
    <w:p>
      <w:pPr>
        <w:pStyle w:val="offset251"/>
        <w:spacing w:before="0" w:after="0"/>
        <w:ind w:start="374" w:end="0"/>
        <w:rPr>
          <w:sz w:val="21"/>
          <w:szCs w:val="21"/>
        </w:rPr>
      </w:pPr>
      <w:r>
        <w:rPr>
          <w:sz w:val="21"/>
          <w:szCs w:val="21"/>
        </w:rPr>
        <w:t>Протокол составлен на 1 (одной) странице в одном экземпляре и подписан всеми присутствующими на заседании членами Единой комиссии.</w:t>
      </w:r>
    </w:p>
    <w:p>
      <w:pPr>
        <w:pStyle w:val="offset251"/>
        <w:spacing w:before="0" w:after="0"/>
        <w:ind w:start="374" w:end="0"/>
        <w:rPr>
          <w:sz w:val="21"/>
          <w:szCs w:val="21"/>
        </w:rPr>
      </w:pPr>
      <w:r>
        <w:rPr>
          <w:sz w:val="21"/>
          <w:szCs w:val="21"/>
        </w:rPr>
      </w:r>
    </w:p>
    <w:tbl>
      <w:tblPr>
        <w:tblW w:w="5000" w:type="pct"/>
        <w:jc w:val="start"/>
        <w:tblInd w:w="0" w:type="dxa"/>
        <w:tblLayout w:type="fixed"/>
        <w:tblCellMar>
          <w:top w:w="75" w:type="dxa"/>
          <w:start w:w="75" w:type="dxa"/>
          <w:bottom w:w="75" w:type="dxa"/>
          <w:end w:w="450" w:type="dxa"/>
        </w:tblCellMar>
      </w:tblPr>
      <w:tblGrid>
        <w:gridCol w:w="2437"/>
        <w:gridCol w:w="7314"/>
      </w:tblGrid>
      <w:tr>
        <w:trPr/>
        <w:tc>
          <w:tcPr>
            <w:tcW w:w="2437" w:type="dxa"/>
            <w:tcBorders>
              <w:top w:val="single" w:sz="4" w:space="0" w:color="000000"/>
              <w:start w:val="single" w:sz="4" w:space="0" w:color="000000"/>
              <w:bottom w:val="single" w:sz="4" w:space="0" w:color="000000"/>
              <w:end w:val="single" w:sz="4" w:space="0" w:color="000000"/>
            </w:tcBorders>
          </w:tcPr>
          <w:p>
            <w:pPr>
              <w:pStyle w:val="Normal"/>
              <w:jc w:val="both"/>
              <w:rPr>
                <w:sz w:val="21"/>
                <w:szCs w:val="21"/>
              </w:rPr>
            </w:pPr>
            <w:r>
              <w:rPr>
                <w:sz w:val="21"/>
                <w:szCs w:val="21"/>
              </w:rPr>
              <w:t>Член комиссии</w:t>
            </w:r>
          </w:p>
        </w:tc>
        <w:tc>
          <w:tcPr>
            <w:tcW w:w="7314" w:type="dxa"/>
            <w:tcBorders>
              <w:top w:val="single" w:sz="4" w:space="0" w:color="000000"/>
              <w:start w:val="single" w:sz="4" w:space="0" w:color="000000"/>
              <w:bottom w:val="single" w:sz="4" w:space="0" w:color="000000"/>
              <w:end w:val="single" w:sz="4" w:space="0" w:color="000000"/>
            </w:tcBorders>
            <w:tcMar>
              <w:top w:w="15" w:type="dxa"/>
              <w:start w:w="15" w:type="dxa"/>
              <w:bottom w:w="15" w:type="dxa"/>
              <w:end w:w="15" w:type="dxa"/>
            </w:tcMar>
          </w:tcPr>
          <w:p>
            <w:pPr>
              <w:pStyle w:val="Normal"/>
              <w:jc w:val="both"/>
              <w:rPr/>
            </w:pPr>
            <w:r>
              <w:rPr>
                <w:sz w:val="21"/>
                <w:szCs w:val="21"/>
              </w:rPr>
              <w:t>___________________________/Васильева Светлана Николаевна/</w:t>
            </w:r>
          </w:p>
        </w:tc>
      </w:tr>
      <w:tr>
        <w:trPr/>
        <w:tc>
          <w:tcPr>
            <w:tcW w:w="2437" w:type="dxa"/>
            <w:tcBorders>
              <w:top w:val="single" w:sz="4" w:space="0" w:color="000000"/>
              <w:start w:val="single" w:sz="4" w:space="0" w:color="000000"/>
              <w:bottom w:val="single" w:sz="4" w:space="0" w:color="000000"/>
              <w:end w:val="single" w:sz="4" w:space="0" w:color="000000"/>
            </w:tcBorders>
          </w:tcPr>
          <w:p>
            <w:pPr>
              <w:pStyle w:val="Normal"/>
              <w:jc w:val="both"/>
              <w:rPr>
                <w:sz w:val="21"/>
                <w:szCs w:val="21"/>
              </w:rPr>
            </w:pPr>
            <w:r>
              <w:rPr>
                <w:sz w:val="21"/>
                <w:szCs w:val="21"/>
              </w:rPr>
              <w:t>Член комиссии</w:t>
            </w:r>
          </w:p>
        </w:tc>
        <w:tc>
          <w:tcPr>
            <w:tcW w:w="7314" w:type="dxa"/>
            <w:tcBorders>
              <w:top w:val="single" w:sz="4" w:space="0" w:color="000000"/>
              <w:start w:val="single" w:sz="4" w:space="0" w:color="000000"/>
              <w:bottom w:val="single" w:sz="4" w:space="0" w:color="000000"/>
              <w:end w:val="single" w:sz="4" w:space="0" w:color="000000"/>
            </w:tcBorders>
            <w:tcMar>
              <w:top w:w="15" w:type="dxa"/>
              <w:start w:w="15" w:type="dxa"/>
              <w:bottom w:w="15" w:type="dxa"/>
              <w:end w:w="15" w:type="dxa"/>
            </w:tcMar>
          </w:tcPr>
          <w:p>
            <w:pPr>
              <w:pStyle w:val="Normal"/>
              <w:jc w:val="both"/>
              <w:rPr>
                <w:sz w:val="21"/>
                <w:szCs w:val="21"/>
              </w:rPr>
            </w:pPr>
            <w:r>
              <w:rPr>
                <w:sz w:val="21"/>
                <w:szCs w:val="21"/>
              </w:rPr>
              <w:t>___________________________/Романов Антон Валерьевич/</w:t>
            </w:r>
          </w:p>
        </w:tc>
      </w:tr>
      <w:tr>
        <w:trPr/>
        <w:tc>
          <w:tcPr>
            <w:tcW w:w="2437" w:type="dxa"/>
            <w:tcBorders>
              <w:top w:val="single" w:sz="4" w:space="0" w:color="000000"/>
              <w:start w:val="single" w:sz="4" w:space="0" w:color="000000"/>
              <w:bottom w:val="single" w:sz="4" w:space="0" w:color="000000"/>
              <w:end w:val="single" w:sz="4" w:space="0" w:color="000000"/>
            </w:tcBorders>
          </w:tcPr>
          <w:p>
            <w:pPr>
              <w:pStyle w:val="Normal"/>
              <w:jc w:val="both"/>
              <w:rPr>
                <w:sz w:val="21"/>
                <w:szCs w:val="21"/>
              </w:rPr>
            </w:pPr>
            <w:r>
              <w:rPr>
                <w:sz w:val="21"/>
                <w:szCs w:val="21"/>
              </w:rPr>
              <w:t>Член комиссии</w:t>
            </w:r>
          </w:p>
        </w:tc>
        <w:tc>
          <w:tcPr>
            <w:tcW w:w="7314" w:type="dxa"/>
            <w:tcBorders>
              <w:top w:val="single" w:sz="4" w:space="0" w:color="000000"/>
              <w:start w:val="single" w:sz="4" w:space="0" w:color="000000"/>
              <w:bottom w:val="single" w:sz="4" w:space="0" w:color="000000"/>
              <w:end w:val="single" w:sz="4" w:space="0" w:color="000000"/>
            </w:tcBorders>
            <w:tcMar>
              <w:top w:w="15" w:type="dxa"/>
              <w:start w:w="15" w:type="dxa"/>
              <w:bottom w:w="15" w:type="dxa"/>
              <w:end w:w="15" w:type="dxa"/>
            </w:tcMar>
          </w:tcPr>
          <w:p>
            <w:pPr>
              <w:pStyle w:val="Normal"/>
              <w:jc w:val="both"/>
              <w:rPr>
                <w:sz w:val="21"/>
                <w:szCs w:val="21"/>
              </w:rPr>
            </w:pPr>
            <w:r>
              <w:rPr>
                <w:sz w:val="21"/>
                <w:szCs w:val="21"/>
              </w:rPr>
              <w:t>___________________________/Серёдкина Ольга Николаевна /</w:t>
            </w:r>
          </w:p>
        </w:tc>
      </w:tr>
    </w:tbl>
    <w:p>
      <w:pPr>
        <w:pStyle w:val="Normal"/>
        <w:rPr/>
      </w:pPr>
      <w:r>
        <w:rPr/>
      </w:r>
    </w:p>
    <w:p>
      <w:pPr>
        <w:pStyle w:val="Normal"/>
        <w:rPr/>
      </w:pPr>
      <w:r>
        <w:rPr/>
      </w:r>
    </w:p>
    <w:sectPr>
      <w:type w:val="nextPage"/>
      <w:pgSz w:w="11906" w:h="16838"/>
      <w:pgMar w:left="1304" w:right="851" w:gutter="0" w:header="0" w:top="1134" w:footer="0"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Tahoma">
    <w:charset w:val="cc" w:characterSet="windows-1251"/>
    <w:family w:val="swiss"/>
    <w:pitch w:val="variable"/>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3">
    <w:name w:val="heading 3"/>
    <w:basedOn w:val="Normal"/>
    <w:next w:val="BodyText"/>
    <w:qFormat/>
    <w:pPr>
      <w:numPr>
        <w:ilvl w:val="2"/>
        <w:numId w:val="1"/>
      </w:numPr>
      <w:spacing w:before="280" w:after="280"/>
      <w:outlineLvl w:val="2"/>
    </w:pPr>
    <w:rPr>
      <w:b/>
      <w:bCs/>
      <w:sz w:val="27"/>
      <w:szCs w:val="27"/>
    </w:rPr>
  </w:style>
  <w:style w:type="character" w:styleId="Style13">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offset251">
    <w:name w:val="offset251"/>
    <w:basedOn w:val="Normal"/>
    <w:qFormat/>
    <w:pPr>
      <w:spacing w:before="280" w:after="280"/>
      <w:ind w:hanging="0" w:start="375" w:end="0"/>
    </w:pPr>
    <w:rPr/>
  </w:style>
  <w:style w:type="paragraph" w:styleId="Style14">
    <w:name w:val="Обычный (веб)"/>
    <w:basedOn w:val="Normal"/>
    <w:qFormat/>
    <w:pPr>
      <w:spacing w:before="280" w:after="280"/>
    </w:pPr>
    <w:rPr/>
  </w:style>
  <w:style w:type="paragraph"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Normal"/>
    <w:qFormat/>
    <w:pPr>
      <w:spacing w:before="280" w:after="280"/>
    </w:pPr>
    <w:rPr>
      <w:rFonts w:ascii="Tahoma" w:hAnsi="Tahoma" w:cs="Tahoma"/>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2025-03-03T11:55:00Z</dcterms:created>
  <dc:creator>1</dc:creator>
  <dc:description/>
  <cp:keywords/>
  <dc:language>en-US</dc:language>
  <cp:lastModifiedBy>Светлана Васильева</cp:lastModifiedBy>
  <dcterms:modified xsi:type="dcterms:W3CDTF">2025-03-03T11:57:00Z</dcterms:modified>
  <cp:revision>4</cp:revision>
  <dc:subject/>
  <dc:title>Протокол рассмотрения и оценки котировочных заявок №0358100005513000090-П от 17</dc:title>
</cp:coreProperties>
</file>