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messagecaption"/>
        <w:bidi w:val="0"/>
        <w:spacing w:lineRule="atLeast" w:line="0"/>
        <w:jc w:val="center"/>
        <w:rPr/>
      </w:pPr>
      <w:r>
        <w:rPr/>
        <w:t>ПРОТОКОЛ ПОДВЕДЕНИЯ ИТОГОВ ЗАПРОСА ОФЕРТ</w:t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(в редакции № 1)</w:t>
      </w:r>
    </w:p>
    <w:p>
      <w:pPr>
        <w:pStyle w:val="messagesubcaption"/>
        <w:bidi w:val="0"/>
        <w:jc w:val="center"/>
        <w:rPr/>
      </w:pPr>
      <w:r>
        <w:rPr/>
        <w:t>                                                                                          </w:t>
      </w:r>
      <w:r>
        <w:rPr/>
        <w:t>15 декабря 2025 года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variable"/>
        <w:bidi w:val="0"/>
        <w:jc w:val="start"/>
        <w:rPr/>
      </w:pPr>
      <w:r>
        <w:rPr/>
        <w:t>Номер процедуры:</w:t>
      </w:r>
      <w:r>
        <w:rPr>
          <w:b w:val="false"/>
          <w:i w:val="false"/>
          <w:u w:val="none"/>
        </w:rPr>
        <w:t xml:space="preserve"> 0353725043DP</w:t>
      </w:r>
    </w:p>
    <w:p>
      <w:pPr>
        <w:pStyle w:val="variable"/>
        <w:bidi w:val="0"/>
        <w:jc w:val="start"/>
        <w:rPr/>
      </w:pPr>
      <w:r>
        <w:rPr/>
        <w:t>Реестровый номер (ЕИС):</w:t>
      </w:r>
      <w:r>
        <w:rPr>
          <w:b w:val="false"/>
          <w:i w:val="false"/>
          <w:u w:val="none"/>
        </w:rPr>
        <w:t xml:space="preserve"> 32515528983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I. Общие положения</w:t>
      </w:r>
    </w:p>
    <w:p>
      <w:pPr>
        <w:pStyle w:val="variable"/>
        <w:bidi w:val="0"/>
        <w:jc w:val="start"/>
        <w:rPr/>
      </w:pPr>
      <w:r>
        <w:rPr/>
        <w:t>Способ закупки:</w:t>
      </w:r>
      <w:r>
        <w:rPr>
          <w:b w:val="false"/>
          <w:i w:val="false"/>
          <w:u w:val="none"/>
        </w:rPr>
        <w:t xml:space="preserve"> Запрос оферт в электронной форме.</w:t>
      </w:r>
    </w:p>
    <w:p>
      <w:pPr>
        <w:pStyle w:val="variable"/>
        <w:bidi w:val="0"/>
        <w:jc w:val="start"/>
        <w:rPr/>
      </w:pPr>
      <w:r>
        <w:rPr/>
        <w:t>Сведения об организаторе:</w:t>
      </w:r>
      <w:r>
        <w:rPr>
          <w:b w:val="false"/>
          <w:i w:val="false"/>
          <w:u w:val="none"/>
        </w:rPr>
        <w:t xml:space="preserve"> МУНИЦИПАЛЬНОЕ БЮДЖЕТНОЕ УЧРЕЖДЕНИЕ "КОМБИНАТ ЮНОСТЬ" НЕВЬЯНСКОГО МУНИЦИПАЛЬНОГО ОКРУГА (ИНН: 6686160648, КПП: 668601001, ОГРН: 1246600026012).</w:t>
      </w:r>
    </w:p>
    <w:p>
      <w:pPr>
        <w:pStyle w:val="text"/>
        <w:bidi w:val="0"/>
        <w:spacing w:lineRule="auto" w:line="240"/>
        <w:jc w:val="start"/>
        <w:rPr/>
      </w:pPr>
      <w:r>
        <w:rPr/>
        <w:t>Место нахождения: 624194, СВЕРДЛОВСКАЯ ОБЛАСТЬ, м.о. НЕВЬЯНСКИЙ, Г. НЕВЬЯНСК, УЛ МАТВЕЕВА, Д. 20, К. 2.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624194, СВЕРДЛОВСКАЯ ОБЛАСТЬ, м.о. НЕВЬЯНСКИЙ, Г. НЕВЬЯНСК, УЛ МАТВЕЕВА, Д. 20, К. 2.</w:t>
      </w:r>
    </w:p>
    <w:p>
      <w:pPr>
        <w:pStyle w:val="variable"/>
        <w:bidi w:val="0"/>
        <w:jc w:val="start"/>
        <w:rPr/>
      </w:pPr>
      <w:r>
        <w:rPr/>
        <w:t>Сведения о заказчике:</w:t>
      </w:r>
      <w:r>
        <w:rPr>
          <w:b w:val="false"/>
          <w:i w:val="false"/>
          <w:u w:val="none"/>
        </w:rPr>
        <w:t xml:space="preserve"> МУНИЦИПАЛЬНОЕ БЮДЖЕТНОЕ УЧРЕЖДЕНИЕ "КОМБИНАТ ЮНОСТЬ" НЕВЬЯНСКОГО МУНИЦИПАЛЬНОГО ОКРУГА (ИНН: 6686160648, КПП: 668601001, ОГРН: 1246600026012).</w:t>
      </w:r>
    </w:p>
    <w:p>
      <w:pPr>
        <w:pStyle w:val="text"/>
        <w:bidi w:val="0"/>
        <w:spacing w:lineRule="auto" w:line="240"/>
        <w:jc w:val="start"/>
        <w:rPr/>
      </w:pPr>
      <w:r>
        <w:rPr/>
        <w:t>Место нахождения: 624194, СВЕРДЛОВСКАЯ ОБЛАСТЬ, м.о. НЕВЬЯНСКИЙ, Г. НЕВЬЯНСК, УЛ МАТВЕЕВА, Д. 20, К. 2.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624194, СВЕРДЛОВСКАЯ ОБЛАСТЬ, м.о. НЕВЬЯНСКИЙ, Г. НЕВЬЯНСК, УЛ МАТВЕЕВА, Д. 20, К. 2.</w:t>
      </w:r>
    </w:p>
    <w:p>
      <w:pPr>
        <w:pStyle w:val="variable"/>
        <w:bidi w:val="0"/>
        <w:jc w:val="start"/>
        <w:rPr/>
      </w:pPr>
      <w:r>
        <w:rPr/>
        <w:t>Контактная информация:</w:t>
      </w:r>
      <w:r>
        <w:rPr>
          <w:b w:val="false"/>
          <w:i w:val="false"/>
          <w:u w:val="none"/>
        </w:rPr>
        <w:t xml:space="preserve"> Путкова Е. Н., тел.: +7 902 255-91-88, e-mail: putkovaen@mail.ru</w:t>
      </w:r>
    </w:p>
    <w:p>
      <w:pPr>
        <w:pStyle w:val="variable"/>
        <w:bidi w:val="0"/>
        <w:jc w:val="start"/>
        <w:rPr/>
      </w:pPr>
      <w:r>
        <w:rPr/>
        <w:t>Сведения об операторе электронной площадки:</w:t>
      </w:r>
      <w:r>
        <w:rPr>
          <w:b w:val="false"/>
          <w:i w:val="false"/>
          <w:u w:val="none"/>
        </w:rPr>
        <w:t xml:space="preserve"> ООО «ТОРГИ-ОНЛАЙН» (ИНН: 0276944133, КПП: 027601001, ОГРН: 1190280048419).</w:t>
      </w:r>
    </w:p>
    <w:p>
      <w:pPr>
        <w:pStyle w:val="text"/>
        <w:bidi w:val="0"/>
        <w:spacing w:lineRule="auto" w:line="240"/>
        <w:jc w:val="start"/>
        <w:rPr/>
      </w:pPr>
      <w:r>
        <w:rPr/>
        <w:t>Юридический адрес: 450022 г. Уфа, улица Менделеева, 134/7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450022 г. Уфа, улица Менделеева, 134/7 офис 424</w:t>
      </w:r>
    </w:p>
    <w:p>
      <w:pPr>
        <w:pStyle w:val="text"/>
        <w:bidi w:val="0"/>
        <w:spacing w:lineRule="auto" w:line="240"/>
        <w:jc w:val="start"/>
        <w:rPr/>
      </w:pPr>
      <w:r>
        <w:rPr/>
        <w:t>Техническая поддержка: тел.: 8 (800) 250-15-35, эл. почта: info@torgi-online.com</w:t>
      </w:r>
    </w:p>
    <w:p>
      <w:pPr>
        <w:pStyle w:val="variable"/>
        <w:bidi w:val="0"/>
        <w:jc w:val="start"/>
        <w:rPr/>
      </w:pPr>
      <w:r>
        <w:rPr/>
        <w:t>Наименование закупки:</w:t>
      </w:r>
      <w:r>
        <w:rPr>
          <w:b w:val="false"/>
          <w:i w:val="false"/>
          <w:u w:val="none"/>
        </w:rPr>
        <w:t xml:space="preserve"> Поставка продуктов питания (Мясо говядины и субпродукты)</w:t>
      </w:r>
    </w:p>
    <w:p>
      <w:pPr>
        <w:pStyle w:val="variable"/>
        <w:bidi w:val="0"/>
        <w:jc w:val="start"/>
        <w:rPr/>
      </w:pPr>
      <w:r>
        <w:rPr/>
        <w:t>Предмет договора (лота):</w:t>
      </w:r>
      <w:r>
        <w:rPr>
          <w:b w:val="false"/>
          <w:i w:val="false"/>
          <w:u w:val="none"/>
        </w:rPr>
        <w:t xml:space="preserve"> Поставка продуктов питания (Мясо говядины и субпродукты).</w:t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Классификация товаров, работ, услуг:</w:t>
      </w:r>
    </w:p>
    <w:tbl>
      <w:tblPr>
        <w:tblW w:w="10637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0"/>
        <w:gridCol w:w="1675"/>
        <w:gridCol w:w="3985"/>
        <w:gridCol w:w="1424"/>
        <w:gridCol w:w="1579"/>
        <w:gridCol w:w="1594"/>
      </w:tblGrid>
      <w:tr>
        <w:trPr/>
        <w:tc>
          <w:tcPr>
            <w:tcW w:w="380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 xml:space="preserve">№ </w:t>
            </w:r>
            <w:r>
              <w:rPr>
                <w:b/>
              </w:rPr>
              <w:t>п/п</w:t>
            </w:r>
          </w:p>
        </w:tc>
        <w:tc>
          <w:tcPr>
            <w:tcW w:w="167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  <w:tc>
          <w:tcPr>
            <w:tcW w:w="398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Количество (ед. измерения)</w:t>
            </w:r>
          </w:p>
        </w:tc>
        <w:tc>
          <w:tcPr>
            <w:tcW w:w="1424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Вид требования</w:t>
            </w:r>
          </w:p>
        </w:tc>
        <w:tc>
          <w:tcPr>
            <w:tcW w:w="157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Код ОКПД 2</w:t>
            </w:r>
          </w:p>
        </w:tc>
        <w:tc>
          <w:tcPr>
            <w:tcW w:w="1594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Код ОКВЭД 2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167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Говядина замороженная</w:t>
            </w:r>
          </w:p>
        </w:tc>
        <w:tc>
          <w:tcPr>
            <w:tcW w:w="39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5000 (Килограмм): Говядина бескостная для детского питания. в соответствии с ГОСТ 31799-2012 (подгруппа 1.2 - массовой долей соединительной и жировой ткани не более 12.0%) для изготовления рубленных и мелкопорционных изделий. Срок годности: не более 6 месяцев. </w:t>
            </w:r>
          </w:p>
        </w:tc>
        <w:tc>
          <w:tcPr>
            <w:tcW w:w="142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157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10.11.31.110: Говядина замороженная</w:t>
            </w:r>
          </w:p>
        </w:tc>
        <w:tc>
          <w:tcPr>
            <w:tcW w:w="159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10.11.3: Производство мяса и пищевых субпродуктов в замороженном виде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167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Субпродукты пищевые крупного рогатого скота замороженные</w:t>
            </w:r>
          </w:p>
        </w:tc>
        <w:tc>
          <w:tcPr>
            <w:tcW w:w="398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20 (Килограмм): Печень говяжья. замороженная. Соответствует требованиям ГОСТ 32244-2013 Субпродукты мясные обработанные. Технические условия Внешний вид: Без наружных кровеносных сосудов и желчных протоков; без лимфатических узлов. желчного пузыря и прирезей посторонних тканей Термическое состояние: замороженный Предоставление сертификата соответствия на продукцию и ветеринарное свидетельство обязательно. Продукты не должны содержать генно-инженерно-модифицированные организмы (ГМО). антибиотики и гормоны Упаковка: предназначенная и соответствующая стандартам для данной продукции. </w:t>
            </w:r>
          </w:p>
        </w:tc>
        <w:tc>
          <w:tcPr>
            <w:tcW w:w="1424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157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10.11.31.140: Субпродукты пищевые крупного рогатого скота замороженные</w:t>
            </w:r>
          </w:p>
        </w:tc>
        <w:tc>
          <w:tcPr>
            <w:tcW w:w="1594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10.11.3: Производство мяса и пищевых субпродуктов в замороженном виде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p>
      <w:pPr>
        <w:pStyle w:val="variable"/>
        <w:bidi w:val="0"/>
        <w:jc w:val="start"/>
        <w:rPr/>
      </w:pPr>
      <w:r>
        <w:rPr/>
        <w:t>Количество поставляемого товара, объем выполняемых работ, оказываемых услуг:</w:t>
      </w:r>
      <w:r>
        <w:rPr>
          <w:b w:val="false"/>
          <w:i w:val="false"/>
          <w:u w:val="none"/>
        </w:rPr>
        <w:t xml:space="preserve"> Говядина замороженная: 5000 Килограмм, Субпродукты пищевые крупного рогатого скота замороженные: 20 Килограмм.</w:t>
      </w:r>
    </w:p>
    <w:p>
      <w:pPr>
        <w:pStyle w:val="variable"/>
        <w:bidi w:val="0"/>
        <w:jc w:val="start"/>
        <w:rPr/>
      </w:pPr>
      <w:r>
        <w:rPr/>
        <w:t>Начальная (максимальная) цена договора (лота):</w:t>
      </w:r>
      <w:r>
        <w:rPr>
          <w:b w:val="false"/>
          <w:i w:val="false"/>
          <w:u w:val="none"/>
        </w:rPr>
        <w:t xml:space="preserve"> 3 682 933.40 руб.</w:t>
      </w:r>
    </w:p>
    <w:p>
      <w:pPr>
        <w:pStyle w:val="variable"/>
        <w:bidi w:val="0"/>
        <w:jc w:val="start"/>
        <w:rPr/>
      </w:pPr>
      <w:r>
        <w:rPr/>
        <w:t>Особенности проведения закупки:</w:t>
      </w:r>
      <w:r>
        <w:rPr>
          <w:b w:val="false"/>
          <w:i w:val="false"/>
          <w:u w:val="none"/>
        </w:rPr>
        <w:t xml:space="preserve"> только для субъектов малого и среднего предпринимательства; требуется согласие на поставку товаров (выполнение работ, оказание услуг); требуется декларация о соответствии участника закупки обязательным требованиям.</w:t>
      </w:r>
    </w:p>
    <w:p>
      <w:pPr>
        <w:pStyle w:val="variable"/>
        <w:bidi w:val="0"/>
        <w:jc w:val="start"/>
        <w:rPr/>
      </w:pPr>
      <w:r>
        <w:rPr/>
        <w:t>Срок предоставления документации о закупке:</w:t>
      </w:r>
      <w:r>
        <w:rPr>
          <w:b w:val="false"/>
          <w:i w:val="false"/>
          <w:u w:val="none"/>
        </w:rPr>
        <w:t xml:space="preserve"> с 15 декабря 2025 года по 15 декабря 2025 года.</w:t>
      </w:r>
    </w:p>
    <w:p>
      <w:pPr>
        <w:pStyle w:val="variable"/>
        <w:bidi w:val="0"/>
        <w:jc w:val="start"/>
        <w:rPr/>
      </w:pPr>
      <w:r>
        <w:rPr/>
        <w:t>Место предоставления документации о закупке:</w:t>
      </w:r>
      <w:r>
        <w:rPr>
          <w:b w:val="false"/>
          <w:i w:val="false"/>
          <w:u w:val="none"/>
        </w:rPr>
        <w:t xml:space="preserve"> ЭТП ТОРГИ-ОНЛАЙН https://etp.torgi-online.com.</w:t>
      </w:r>
    </w:p>
    <w:p>
      <w:pPr>
        <w:pStyle w:val="variable"/>
        <w:bidi w:val="0"/>
        <w:jc w:val="start"/>
        <w:rPr/>
      </w:pPr>
      <w:r>
        <w:rPr/>
        <w:t>Порядок предоставления документации о закупке:</w:t>
      </w:r>
      <w:r>
        <w:rPr>
          <w:b w:val="false"/>
          <w:i w:val="false"/>
          <w:u w:val="none"/>
        </w:rPr>
        <w:t xml:space="preserve"> В электронной форме.</w:t>
      </w:r>
    </w:p>
    <w:p>
      <w:pPr>
        <w:pStyle w:val="variable"/>
        <w:bidi w:val="0"/>
        <w:jc w:val="start"/>
        <w:rPr/>
      </w:pPr>
      <w:r>
        <w:rPr/>
        <w:t>Официальный сайт, на котором размещена документация о закупке:</w:t>
      </w:r>
      <w:r>
        <w:rPr>
          <w:b w:val="false"/>
          <w:i w:val="false"/>
          <w:u w:val="none"/>
        </w:rPr>
        <w:t xml:space="preserve"> https://etp.torgi-online.com/.</w:t>
      </w:r>
    </w:p>
    <w:p>
      <w:pPr>
        <w:pStyle w:val="variable"/>
        <w:bidi w:val="0"/>
        <w:jc w:val="start"/>
        <w:rPr/>
      </w:pPr>
      <w:r>
        <w:rPr/>
        <w:t>Размер, срок и порядок внесения платы за предоставление документации о закупке:</w:t>
      </w:r>
      <w:r>
        <w:rPr>
          <w:b w:val="false"/>
          <w:i w:val="false"/>
          <w:u w:val="none"/>
        </w:rPr>
        <w:t xml:space="preserve"> плата не установлена.</w:t>
      </w:r>
    </w:p>
    <w:p>
      <w:pPr>
        <w:pStyle w:val="variable"/>
        <w:bidi w:val="0"/>
        <w:jc w:val="start"/>
        <w:rPr/>
      </w:pPr>
      <w:r>
        <w:rPr/>
        <w:t>Место подачи заявок:</w:t>
      </w:r>
      <w:r>
        <w:rPr>
          <w:b w:val="false"/>
          <w:i w:val="false"/>
          <w:u w:val="none"/>
        </w:rPr>
        <w:t xml:space="preserve"> ЭТП ТОРГИ-ОНЛАЙН https://etp.torgi-online.com.</w:t>
      </w:r>
    </w:p>
    <w:p>
      <w:pPr>
        <w:pStyle w:val="variable"/>
        <w:bidi w:val="0"/>
        <w:jc w:val="start"/>
        <w:rPr/>
      </w:pPr>
      <w:r>
        <w:rPr/>
        <w:t>Дата начала подачи заявок:</w:t>
      </w:r>
      <w:r>
        <w:rPr>
          <w:b w:val="false"/>
          <w:i w:val="false"/>
          <w:u w:val="none"/>
        </w:rPr>
        <w:t xml:space="preserve"> 15 декабря 2025 года.</w:t>
      </w:r>
    </w:p>
    <w:p>
      <w:pPr>
        <w:pStyle w:val="variable"/>
        <w:bidi w:val="0"/>
        <w:jc w:val="start"/>
        <w:rPr/>
      </w:pPr>
      <w:r>
        <w:rPr/>
        <w:t>Дата и время окончания подачи заявок:</w:t>
      </w:r>
      <w:r>
        <w:rPr>
          <w:b w:val="false"/>
          <w:i w:val="false"/>
          <w:u w:val="none"/>
        </w:rPr>
        <w:t xml:space="preserve"> 15 декабря 2025 года в 10:00 MCK+2.</w:t>
      </w:r>
    </w:p>
    <w:p>
      <w:pPr>
        <w:pStyle w:val="variable"/>
        <w:bidi w:val="0"/>
        <w:jc w:val="start"/>
        <w:rPr/>
      </w:pPr>
      <w:r>
        <w:rPr/>
        <w:t>Место, дата и время рассмотрения заявок:</w:t>
      </w:r>
      <w:r>
        <w:rPr>
          <w:b w:val="false"/>
          <w:i w:val="false"/>
          <w:u w:val="none"/>
        </w:rPr>
        <w:t xml:space="preserve"> 624194, СВЕРДЛОВСКАЯ ОБЛАСТЬ, м.о. НЕВЬЯНСКИЙ, Г. НЕВЬЯНСК, УЛ МАТВЕЕВА, Д. 20, К. 2, 15 декабря 2025 года в 10:30 MCK+2.</w:t>
      </w:r>
    </w:p>
    <w:p>
      <w:pPr>
        <w:pStyle w:val="variable"/>
        <w:bidi w:val="0"/>
        <w:jc w:val="start"/>
        <w:rPr/>
      </w:pPr>
      <w:r>
        <w:rPr/>
        <w:t>Место, дата и время подведения итогов закупки:</w:t>
      </w:r>
      <w:r>
        <w:rPr>
          <w:b w:val="false"/>
          <w:i w:val="false"/>
          <w:u w:val="none"/>
        </w:rPr>
        <w:t xml:space="preserve"> 624194, СВЕРДЛОВСКАЯ ОБЛАСТЬ, м.о. НЕВЬЯНСКИЙ, Г. НЕВЬЯНСК, УЛ МАТВЕЕВА, Д. 20, К. 2, 15 декабря 2025 года в 10:30 MCK+2.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II. Сведения о результатах рассмотрения заявок</w:t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 xml:space="preserve">Сведения об участниках, подавших заявки на участие в закупке: 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91"/>
        <w:gridCol w:w="3835"/>
        <w:gridCol w:w="1912"/>
      </w:tblGrid>
      <w:tr>
        <w:trPr/>
        <w:tc>
          <w:tcPr>
            <w:tcW w:w="3891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Дата и время регистрации заявки</w:t>
            </w:r>
          </w:p>
        </w:tc>
        <w:tc>
          <w:tcPr>
            <w:tcW w:w="383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1912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15.12.2025 08:53:22 MCK+2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№32042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15.12.2025 09:59:45 MCK+2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№32070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 xml:space="preserve">Сведения об участниках, допущенных к участию в закупке: 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439"/>
        <w:gridCol w:w="3199"/>
      </w:tblGrid>
      <w:tr>
        <w:trPr/>
        <w:tc>
          <w:tcPr>
            <w:tcW w:w="6439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319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643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№32042</w:t>
            </w:r>
          </w:p>
        </w:tc>
        <w:tc>
          <w:tcPr>
            <w:tcW w:w="31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6439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№32070</w:t>
            </w:r>
          </w:p>
        </w:tc>
        <w:tc>
          <w:tcPr>
            <w:tcW w:w="319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variable"/>
        <w:bidi w:val="0"/>
        <w:jc w:val="start"/>
        <w:rPr/>
      </w:pPr>
      <w:r>
        <w:rPr/>
        <w:t>Сведения об участниках, которым отказано в допуске к участию в закупке с указанием причин отклонения:</w:t>
      </w:r>
      <w:r>
        <w:rPr>
          <w:b w:val="false"/>
          <w:i w:val="false"/>
          <w:u w:val="none"/>
        </w:rPr>
        <w:t xml:space="preserve"> отклоненные заявки отсутствуют.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III. Сведения о результатах подведения итогов закупки</w:t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Сведения о принятом на основании подведения итогов закупки решении о присвоении участникам закупки следующих порядковых номеров (по мере уменьшения степени выгодности содержащихся в них условий исполнения договора):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65"/>
        <w:gridCol w:w="3615"/>
        <w:gridCol w:w="2158"/>
      </w:tblGrid>
      <w:tr>
        <w:trPr/>
        <w:tc>
          <w:tcPr>
            <w:tcW w:w="3865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Номер заявки участника процедуры</w:t>
            </w:r>
          </w:p>
        </w:tc>
        <w:tc>
          <w:tcPr>
            <w:tcW w:w="361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Дата и время регистрации заявки</w:t>
            </w:r>
          </w:p>
        </w:tc>
        <w:tc>
          <w:tcPr>
            <w:tcW w:w="215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Порядковый номер</w:t>
            </w:r>
          </w:p>
        </w:tc>
      </w:tr>
      <w:tr>
        <w:trPr/>
        <w:tc>
          <w:tcPr>
            <w:tcW w:w="3865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№32042</w:t>
            </w:r>
          </w:p>
        </w:tc>
        <w:tc>
          <w:tcPr>
            <w:tcW w:w="361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15.12.2025 08:53 MCK+2</w:t>
            </w:r>
          </w:p>
        </w:tc>
        <w:tc>
          <w:tcPr>
            <w:tcW w:w="215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</w:t>
            </w:r>
          </w:p>
        </w:tc>
      </w:tr>
      <w:tr>
        <w:trPr/>
        <w:tc>
          <w:tcPr>
            <w:tcW w:w="3865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№32070</w:t>
            </w:r>
          </w:p>
        </w:tc>
        <w:tc>
          <w:tcPr>
            <w:tcW w:w="361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15.12.2025 09:59 MCK+2</w:t>
            </w:r>
          </w:p>
        </w:tc>
        <w:tc>
          <w:tcPr>
            <w:tcW w:w="2158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2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Сведения об участниках закупки, которым присвоены первый и второй порядковые номера: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250"/>
        <w:gridCol w:w="4388"/>
      </w:tblGrid>
      <w:tr>
        <w:trPr/>
        <w:tc>
          <w:tcPr>
            <w:tcW w:w="5250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первый порядковый номер (победитель)</w:t>
            </w:r>
          </w:p>
        </w:tc>
        <w:tc>
          <w:tcPr>
            <w:tcW w:w="438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второй порядковый номер</w:t>
            </w:r>
          </w:p>
        </w:tc>
      </w:tr>
      <w:tr>
        <w:trPr/>
        <w:tc>
          <w:tcPr>
            <w:tcW w:w="525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№32042, -</w:t>
              <w:br/>
            </w:r>
            <w:r>
              <w:rPr>
                <w:u w:val="single"/>
              </w:rPr>
              <w:t>Предложение о цене договора (лота):</w:t>
            </w:r>
            <w:r>
              <w:rPr/>
              <w:br/>
              <w:t>3 306 000.00 руб.</w:t>
            </w:r>
          </w:p>
        </w:tc>
        <w:tc>
          <w:tcPr>
            <w:tcW w:w="4388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№32070, -</w:t>
              <w:br/>
            </w:r>
            <w:r>
              <w:rPr>
                <w:u w:val="single"/>
              </w:rPr>
              <w:t>Предложение о цене договора (лота):</w:t>
            </w:r>
            <w:r>
              <w:rPr/>
              <w:br/>
              <w:t>3 577 500.00 руб.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text"/>
        <w:bidi w:val="0"/>
        <w:spacing w:lineRule="auto" w:line="24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bidi w:val="0"/>
        <w:jc w:val="start"/>
        <w:rPr>
          <w:b/>
        </w:rPr>
      </w:pPr>
      <w:r>
        <w:rPr>
          <w:b/>
        </w:rPr>
        <w:t>Состав комиссии: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902"/>
        <w:gridCol w:w="4976"/>
        <w:gridCol w:w="1760"/>
      </w:tblGrid>
      <w:tr>
        <w:trPr/>
        <w:tc>
          <w:tcPr>
            <w:tcW w:w="9638" w:type="dxa"/>
            <w:gridSpan w:val="3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Комиссия</w:t>
            </w:r>
          </w:p>
        </w:tc>
      </w:tr>
      <w:tr>
        <w:trPr/>
        <w:tc>
          <w:tcPr>
            <w:tcW w:w="2902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Роль в комиссии</w:t>
            </w:r>
          </w:p>
        </w:tc>
        <w:tc>
          <w:tcPr>
            <w:tcW w:w="497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Ф.И.О.</w:t>
            </w:r>
          </w:p>
        </w:tc>
        <w:tc>
          <w:tcPr>
            <w:tcW w:w="176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Подпись</w:t>
            </w:r>
          </w:p>
        </w:tc>
      </w:tr>
      <w:tr>
        <w:trPr/>
        <w:tc>
          <w:tcPr>
            <w:tcW w:w="2902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Председатель комиссии</w:t>
            </w:r>
          </w:p>
        </w:tc>
        <w:tc>
          <w:tcPr>
            <w:tcW w:w="497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Матвеева Евгения Вячеславовна</w:t>
            </w:r>
          </w:p>
        </w:tc>
        <w:tc>
          <w:tcPr>
            <w:tcW w:w="176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2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7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Путкова Елена Николаевна</w:t>
            </w:r>
          </w:p>
        </w:tc>
        <w:tc>
          <w:tcPr>
            <w:tcW w:w="176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2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Секретарь комиссии</w:t>
            </w:r>
          </w:p>
        </w:tc>
        <w:tc>
          <w:tcPr>
            <w:tcW w:w="4976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Вохминцева Марина Геннадьевна</w:t>
            </w:r>
          </w:p>
        </w:tc>
        <w:tc>
          <w:tcPr>
            <w:tcW w:w="1760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Arial">
    <w:charset w:val="01"/>
    <w:family w:val="swiss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2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kinsoku w:val="true"/>
      <w:overflowPunct w:val="true"/>
      <w:autoSpaceDE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FollowedHyperlink">
    <w:name w:val="FollowedHyperlink"/>
    <w:rPr>
      <w:color w:val="800000"/>
      <w:u w:val="single"/>
      <w:lang w:val="zxx" w:eastAsia="zxx" w:bidi="zxx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ascii="Arial" w:hAnsi="Arial"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Tahoma"/>
      <w:i/>
      <w:iCs/>
      <w:sz w:val="20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Tahoma"/>
    </w:rPr>
  </w:style>
  <w:style w:type="paragraph" w:styleId="BodyTextFirstIndent">
    <w:name w:val="Body Text First Indent"/>
    <w:basedOn w:val="BodyText"/>
    <w:pPr>
      <w:ind w:firstLine="283" w:start="0" w:end="0"/>
    </w:pPr>
    <w:rPr/>
  </w:style>
  <w:style w:type="paragraph" w:styleId="WW-Heading">
    <w:name w:val="WW-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DejaVu Sans" w:cs="DejaVu Sans"/>
      <w:sz w:val="28"/>
      <w:szCs w:val="28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  <w:sz w:val="28"/>
      <w:szCs w:val="28"/>
    </w:rPr>
  </w:style>
  <w:style w:type="paragraph" w:styleId="Bibliography1">
    <w:name w:val="Bibliography 1"/>
    <w:basedOn w:val="Index"/>
    <w:qFormat/>
    <w:pPr>
      <w:tabs>
        <w:tab w:val="clear" w:pos="709"/>
        <w:tab w:val="right" w:pos="9637" w:leader="dot"/>
      </w:tabs>
      <w:ind w:hanging="0" w:start="0" w:end="0"/>
    </w:pPr>
    <w:rPr/>
  </w:style>
  <w:style w:type="paragraph" w:styleId="publication">
    <w:name w:val="publication"/>
    <w:basedOn w:val="Normal"/>
    <w:next w:val="text"/>
    <w:qFormat/>
    <w:pPr>
      <w:pBdr/>
      <w:spacing w:lineRule="auto" w:line="240"/>
    </w:pPr>
    <w:rPr>
      <w:rFonts w:ascii="Arial" w:hAnsi="Arial" w:cs="Arial"/>
      <w:b w:val="false"/>
      <w:color w:val="FFFFFF"/>
      <w:sz w:val="22"/>
      <w:shd w:fill="000000" w:val="clear"/>
    </w:rPr>
  </w:style>
  <w:style w:type="paragraph" w:styleId="text">
    <w:name w:val="text"/>
    <w:qFormat/>
    <w:pPr>
      <w:widowControl w:val="false"/>
      <w:suppressAutoHyphens w:val="true"/>
      <w:kinsoku w:val="true"/>
      <w:overflowPunct w:val="true"/>
      <w:autoSpaceDE w:val="true"/>
      <w:bidi w:val="0"/>
      <w:spacing w:lineRule="auto" w:line="24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layout0">
    <w:name w:val="layout0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>
      <w:b/>
      <w:sz w:val="32"/>
    </w:rPr>
  </w:style>
  <w:style w:type="paragraph" w:styleId="layout1">
    <w:name w:val="layout1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layout2">
    <w:name w:val="layout2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messagecaption">
    <w:name w:val="messagecaption"/>
    <w:basedOn w:val="text"/>
    <w:next w:val="text"/>
    <w:qFormat/>
    <w:pPr>
      <w:spacing w:lineRule="atLeast" w:line="0"/>
      <w:jc w:val="center"/>
    </w:pPr>
    <w:rPr>
      <w:b/>
      <w:caps/>
    </w:rPr>
  </w:style>
  <w:style w:type="paragraph" w:styleId="messagesubcaption">
    <w:name w:val="messagesubcaption"/>
    <w:basedOn w:val="text"/>
    <w:next w:val="text"/>
    <w:qFormat/>
    <w:pPr>
      <w:jc w:val="center"/>
    </w:pPr>
    <w:rPr>
      <w:b w:val="false"/>
      <w:caps w:val="false"/>
      <w:smallCaps w:val="false"/>
    </w:rPr>
  </w:style>
  <w:style w:type="paragraph" w:styleId="print">
    <w:name w:val="print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printChapter">
    <w:name w:val="printChapter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>
      <w:sz w:val="28"/>
    </w:rPr>
  </w:style>
  <w:style w:type="paragraph" w:styleId="printSubChapter">
    <w:name w:val="printSubChapter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variable">
    <w:name w:val="variable"/>
    <w:basedOn w:val="text"/>
    <w:next w:val="text"/>
    <w:qFormat/>
    <w:pPr/>
    <w:rPr>
      <w:b/>
    </w:rPr>
  </w:style>
  <w:style w:type="paragraph" w:styleId="Text1">
    <w:name w:val="Text1"/>
    <w:basedOn w:val="Caption"/>
    <w:qFormat/>
    <w:pPr/>
    <w:rPr/>
  </w:style>
  <w:style w:type="paragraph" w:styleId="centered">
    <w:name w:val="centered"/>
    <w:basedOn w:val="text"/>
    <w:next w:val="text"/>
    <w:qFormat/>
    <w:pPr>
      <w:jc w:val="center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ListContents">
    <w:name w:val="List Contents"/>
    <w:basedOn w:val="Normal"/>
    <w:qFormat/>
    <w:pPr>
      <w:ind w:hanging="0" w:start="567" w:end="0"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2025-12-15T17:42:17Z</dcterms:created>
  <dc:creator/>
  <dc:description/>
  <dc:language>en-US</dc:language>
  <cp:lastModifiedBy/>
  <dcterms:modified xsi:type="dcterms:W3CDTF">2025-12-15T17:42:18Z</dcterms:modified>
  <cp:revision>2</cp:revision>
  <dc:subject/>
  <dc:title/>
</cp:coreProperties>
</file>