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5529" w:end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УТВЕРЖДАЮ</w:t>
      </w:r>
    </w:p>
    <w:p>
      <w:pPr>
        <w:pStyle w:val="Normal"/>
        <w:ind w:start="5529" w:end="0"/>
        <w:jc w:val="end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ind w:start="5529" w:end="0"/>
        <w:rPr>
          <w:bCs/>
          <w:sz w:val="22"/>
          <w:szCs w:val="22"/>
        </w:rPr>
      </w:pPr>
      <w:r>
        <w:rPr>
          <w:bCs/>
          <w:sz w:val="22"/>
          <w:szCs w:val="22"/>
        </w:rPr>
        <w:t>Начальник ГАУ ВО «Владоблгосэкспертиза»</w:t>
      </w:r>
    </w:p>
    <w:p>
      <w:pPr>
        <w:pStyle w:val="Normal"/>
        <w:ind w:start="5529" w:end="-365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Normal"/>
        <w:ind w:start="5529" w:end="-365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______________________В.В. Пирков</w:t>
      </w:r>
    </w:p>
    <w:p>
      <w:pPr>
        <w:pStyle w:val="Normal"/>
        <w:ind w:start="5529" w:end="-365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</w:t>
      </w:r>
    </w:p>
    <w:p>
      <w:pPr>
        <w:pStyle w:val="Heading3"/>
        <w:spacing w:before="0" w:after="0"/>
        <w:ind w:hanging="0" w:start="0"/>
        <w:jc w:val="center"/>
        <w:rPr>
          <w:b w:val="false"/>
          <w:sz w:val="28"/>
          <w:szCs w:val="28"/>
        </w:rPr>
      </w:pPr>
      <w:r>
        <w:rPr>
          <w:b w:val="false"/>
          <w:bCs w:val="false"/>
          <w:sz w:val="22"/>
          <w:szCs w:val="22"/>
        </w:rPr>
        <w:t xml:space="preserve">                                                  </w:t>
      </w:r>
      <w:r>
        <w:rPr>
          <w:b w:val="false"/>
          <w:bCs w:val="false"/>
          <w:sz w:val="22"/>
          <w:szCs w:val="22"/>
        </w:rPr>
        <w:t>«12» декабря 2025 г.</w:t>
      </w:r>
    </w:p>
    <w:p>
      <w:pPr>
        <w:pStyle w:val="Heading3"/>
        <w:spacing w:before="0" w:after="0"/>
        <w:ind w:hanging="0" w:start="0"/>
        <w:jc w:val="center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</w:r>
    </w:p>
    <w:p>
      <w:pPr>
        <w:pStyle w:val="Heading3"/>
        <w:spacing w:before="0" w:after="0"/>
        <w:ind w:hanging="0" w:start="0"/>
        <w:jc w:val="center"/>
        <w:rPr>
          <w:rStyle w:val="Hyperlink"/>
          <w:color w:val="000000"/>
          <w:sz w:val="28"/>
          <w:szCs w:val="28"/>
          <w:u w:val="none"/>
        </w:rPr>
      </w:pPr>
      <w:hyperlink r:id="rId2">
        <w:r>
          <w:rPr>
            <w:rStyle w:val="Hyperlink"/>
            <w:caps/>
            <w:color w:val="000000"/>
            <w:sz w:val="28"/>
            <w:szCs w:val="28"/>
            <w:u w:val="none"/>
          </w:rPr>
          <w:t>Протокол</w:t>
        </w:r>
      </w:hyperlink>
    </w:p>
    <w:p>
      <w:pPr>
        <w:pStyle w:val="Heading3"/>
        <w:spacing w:before="0" w:after="0"/>
        <w:ind w:hanging="0" w:start="0"/>
        <w:jc w:val="center"/>
        <w:rPr>
          <w:sz w:val="28"/>
          <w:szCs w:val="28"/>
        </w:rPr>
      </w:pPr>
      <w:hyperlink r:id="rId3">
        <w:r>
          <w:rPr/>
          <w:t xml:space="preserve"> </w:t>
        </w:r>
      </w:hyperlink>
      <w:r>
        <w:rPr>
          <w:sz w:val="28"/>
          <w:szCs w:val="28"/>
        </w:rPr>
        <w:t>рассмотрения заявок</w:t>
      </w:r>
    </w:p>
    <w:p>
      <w:pPr>
        <w:pStyle w:val="Heading3"/>
        <w:spacing w:before="0" w:after="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2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город Владимир,                                                                                                    12 декабря 2025 года</w:t>
      </w:r>
    </w:p>
    <w:p>
      <w:pPr>
        <w:pStyle w:val="2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ул.Ставровская, д.4а, каб.№27                                                                           10 час. 00 мин.</w:t>
      </w:r>
    </w:p>
    <w:p>
      <w:pPr>
        <w:pStyle w:val="2"/>
        <w:ind w:hanging="0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2"/>
        <w:ind w:hanging="0" w:end="0"/>
        <w:rPr>
          <w:b/>
          <w:sz w:val="4"/>
          <w:szCs w:val="4"/>
        </w:rPr>
      </w:pPr>
      <w:r>
        <w:rPr>
          <w:b/>
          <w:sz w:val="4"/>
          <w:szCs w:val="4"/>
        </w:rPr>
      </w:r>
    </w:p>
    <w:p>
      <w:pPr>
        <w:pStyle w:val="Normal"/>
        <w:jc w:val="both"/>
        <w:rPr/>
      </w:pPr>
      <w:r>
        <w:rPr>
          <w:b/>
          <w:color w:val="000000"/>
          <w:sz w:val="22"/>
          <w:szCs w:val="22"/>
        </w:rPr>
        <w:t>1. Наименование закупки:</w:t>
      </w:r>
      <w:r>
        <w:rPr>
          <w:color w:val="000000"/>
          <w:sz w:val="22"/>
          <w:szCs w:val="22"/>
        </w:rPr>
        <w:t xml:space="preserve"> </w:t>
      </w:r>
      <w:r>
        <w:rPr/>
        <w:t>Открытый одноэтапный конкурс в электронной форме на право заключения договора добровольного медицинского страхования работников ГАУ ВО «Владоблгосэкспертиза»</w:t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>2. Номер закупки по Плану закупок на 2025 год:</w:t>
      </w:r>
      <w:r>
        <w:rPr>
          <w:sz w:val="22"/>
          <w:szCs w:val="22"/>
        </w:rPr>
        <w:t xml:space="preserve"> 9.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3. Сведения о начальной максимальной цене, объеме закупаемой продукции, сроке исполнения договора:</w:t>
      </w:r>
    </w:p>
    <w:p>
      <w:pPr>
        <w:pStyle w:val="Normal"/>
        <w:jc w:val="both"/>
        <w:rPr/>
      </w:pPr>
      <w:r>
        <w:rPr/>
        <w:t>Максимальная цена договора – 3 000 000,00 (Три миллиона) рублей.</w:t>
      </w:r>
    </w:p>
    <w:p>
      <w:pPr>
        <w:pStyle w:val="Normal"/>
        <w:jc w:val="both"/>
        <w:rPr/>
      </w:pPr>
      <w:r>
        <w:rPr/>
        <w:t>Страхователь предусматривает страхование сотрудников с самостоятельным распределением страховой суммы на 1 застрахованное лицо после заключения договора (в пределах общей страховой суммы).</w:t>
      </w:r>
    </w:p>
    <w:p>
      <w:pPr>
        <w:pStyle w:val="Normal"/>
        <w:jc w:val="both"/>
        <w:rPr/>
      </w:pPr>
      <w:r>
        <w:rPr/>
        <w:t>Период страхования: с 01.01.2026 по 31.12.2026.</w:t>
      </w:r>
    </w:p>
    <w:p>
      <w:pPr>
        <w:pStyle w:val="Normal"/>
        <w:jc w:val="both"/>
        <w:rPr/>
      </w:pPr>
      <w:r>
        <w:rPr>
          <w:b/>
        </w:rPr>
        <w:t xml:space="preserve">4. Дата и время проведения процедуры рассмотрения заявок: </w:t>
      </w:r>
      <w:r>
        <w:rPr/>
        <w:t>12 декабря 2025 года в 10 час. 00 мин.</w:t>
      </w:r>
    </w:p>
    <w:p>
      <w:pPr>
        <w:pStyle w:val="Normal"/>
        <w:widowControl w:val="false"/>
        <w:jc w:val="both"/>
        <w:rPr/>
      </w:pPr>
      <w:r>
        <w:rPr>
          <w:b/>
        </w:rPr>
        <w:t xml:space="preserve">5. Наименование и адрес ЭТП в информационно-телекоммуникационной сети «Интернет», с использованием которой проводится закупка: </w:t>
      </w:r>
      <w:r>
        <w:rPr/>
        <w:t>Сбербанк-АСТ</w:t>
      </w:r>
      <w:r>
        <w:rPr>
          <w:b/>
        </w:rPr>
        <w:t xml:space="preserve">, </w:t>
      </w:r>
      <w:hyperlink r:id="rId4">
        <w:r>
          <w:rPr>
            <w:rStyle w:val="Hyperlink"/>
          </w:rPr>
          <w:t>http://utp.sberbank-ast.ru</w:t>
        </w:r>
      </w:hyperlink>
    </w:p>
    <w:tbl>
      <w:tblPr>
        <w:tblW w:w="10216" w:type="dxa"/>
        <w:jc w:val="start"/>
        <w:tblInd w:w="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16"/>
      </w:tblGrid>
      <w:tr>
        <w:trPr>
          <w:trHeight w:val="639" w:hRule="atLeast"/>
        </w:trPr>
        <w:tc>
          <w:tcPr>
            <w:tcW w:w="10216" w:type="dxa"/>
            <w:tcBorders/>
          </w:tcPr>
          <w:p>
            <w:pPr>
              <w:pStyle w:val="BodyTextIndent"/>
              <w:tabs>
                <w:tab w:val="clear" w:pos="708"/>
                <w:tab w:val="left" w:pos="9639" w:leader="none"/>
              </w:tabs>
              <w:ind w:hanging="8" w:end="-1"/>
              <w:jc w:val="start"/>
              <w:rPr/>
            </w:pPr>
            <w:r>
              <w:rPr>
                <w:b/>
                <w:sz w:val="24"/>
                <w:szCs w:val="24"/>
              </w:rPr>
              <w:t>6. Состав закупочной комиссии</w:t>
            </w:r>
            <w:r>
              <w:rPr>
                <w:sz w:val="24"/>
                <w:szCs w:val="24"/>
              </w:rPr>
              <w:t xml:space="preserve"> утвержден приказом №19-З от 02.12.2024г.</w:t>
            </w:r>
          </w:p>
          <w:p>
            <w:pPr>
              <w:pStyle w:val="BodyTextIndent"/>
              <w:tabs>
                <w:tab w:val="clear" w:pos="708"/>
                <w:tab w:val="left" w:pos="9639" w:leader="none"/>
              </w:tabs>
              <w:ind w:hanging="8" w:end="-1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заседании закупочной комиссии присутствовали: </w:t>
            </w:r>
          </w:p>
        </w:tc>
      </w:tr>
    </w:tbl>
    <w:p>
      <w:pPr>
        <w:pStyle w:val="Normal"/>
        <w:jc w:val="both"/>
        <w:rPr>
          <w:iCs/>
          <w:szCs w:val="20"/>
        </w:rPr>
      </w:pPr>
      <w:r>
        <w:rPr>
          <w:iCs/>
          <w:szCs w:val="20"/>
        </w:rPr>
        <w:t>Председатель комиссии – Пирков В.В.</w:t>
      </w:r>
    </w:p>
    <w:p>
      <w:pPr>
        <w:pStyle w:val="Normal"/>
        <w:jc w:val="both"/>
        <w:rPr>
          <w:iCs/>
          <w:szCs w:val="20"/>
        </w:rPr>
      </w:pPr>
      <w:r>
        <w:rPr>
          <w:iCs/>
          <w:szCs w:val="20"/>
        </w:rPr>
        <w:t>Члены комиссии –  Блинов И.В.</w:t>
      </w:r>
    </w:p>
    <w:p>
      <w:pPr>
        <w:pStyle w:val="Normal"/>
        <w:jc w:val="both"/>
        <w:rPr/>
      </w:pPr>
      <w:r>
        <w:rPr>
          <w:iCs/>
          <w:szCs w:val="20"/>
        </w:rPr>
        <w:t xml:space="preserve">                                  </w:t>
      </w:r>
      <w:r>
        <w:rPr>
          <w:iCs/>
          <w:szCs w:val="20"/>
        </w:rPr>
        <w:t>Новикова А.В.</w:t>
      </w:r>
    </w:p>
    <w:p>
      <w:pPr>
        <w:pStyle w:val="Normal"/>
        <w:jc w:val="both"/>
        <w:rPr>
          <w:iCs/>
          <w:szCs w:val="20"/>
        </w:rPr>
      </w:pPr>
      <w:r>
        <w:rPr>
          <w:iCs/>
          <w:szCs w:val="20"/>
        </w:rPr>
        <w:t xml:space="preserve">                                  </w:t>
      </w:r>
      <w:r>
        <w:rPr>
          <w:iCs/>
          <w:szCs w:val="20"/>
        </w:rPr>
        <w:t>Левит Е.О.</w:t>
      </w:r>
    </w:p>
    <w:p>
      <w:pPr>
        <w:pStyle w:val="Normal"/>
        <w:jc w:val="both"/>
        <w:rPr/>
      </w:pPr>
      <w:r>
        <w:rPr/>
        <w:t>Присутствуют 4 из 4 членов комиссии. Кворум имеется.</w:t>
      </w:r>
    </w:p>
    <w:p>
      <w:pPr>
        <w:pStyle w:val="Normal"/>
        <w:jc w:val="both"/>
        <w:rPr/>
      </w:pPr>
      <w:r>
        <w:rPr/>
        <w:t>Секретарь комиссии – Левит Е.О.</w:t>
      </w:r>
    </w:p>
    <w:p>
      <w:pPr>
        <w:pStyle w:val="Normal"/>
        <w:rPr>
          <w:b/>
        </w:rPr>
      </w:pPr>
      <w:r>
        <w:rPr>
          <w:b/>
        </w:rPr>
        <w:t>7. Сведения об участниках процедуры закупки, заявки которых были рассмотрены:</w:t>
      </w:r>
    </w:p>
    <w:tbl>
      <w:tblPr>
        <w:tblpPr w:vertAnchor="text" w:horzAnchor="margin" w:rightFromText="180" w:tblpX="5" w:tblpY="174"/>
        <w:tblW w:w="103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2126"/>
        <w:gridCol w:w="2127"/>
        <w:gridCol w:w="1417"/>
        <w:gridCol w:w="1559"/>
        <w:gridCol w:w="2268"/>
      </w:tblGrid>
      <w:tr>
        <w:trPr>
          <w:trHeight w:val="644" w:hRule="atLeast"/>
        </w:trPr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Регистрационный номер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Наименование участника 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Юридический адрес участника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ИНН/КПП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ОГРН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Предложение о цене</w:t>
            </w:r>
          </w:p>
        </w:tc>
      </w:tr>
      <w:tr>
        <w:trPr>
          <w:trHeight w:val="759" w:hRule="atLeast"/>
        </w:trPr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0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3138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0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ПАО СК  «Росгосстрах»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0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121059, Г.МОСКВА, вн.тер.г. МУНИЦИПАЛЬНЫЙ ОКРУГ ДОРОГОМИЛОВО, УЛ КИЕВСКАЯ, Д. 7, К. 1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7707067683 773001001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0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1027739049689</w:t>
            </w:r>
          </w:p>
          <w:p>
            <w:pPr>
              <w:pStyle w:val="Style15"/>
              <w:spacing w:before="0" w:after="0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5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3 00 000,00 руб.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  <w:vanish/>
        </w:rPr>
      </w:pPr>
      <w:r>
        <w:rPr>
          <w:b/>
          <w:vanish/>
        </w:rPr>
      </w:r>
    </w:p>
    <w:p>
      <w:pPr>
        <w:pStyle w:val="Style15"/>
        <w:spacing w:before="0" w:after="0"/>
        <w:jc w:val="both"/>
        <w:rPr>
          <w:b/>
          <w:color w:val="000000"/>
        </w:rPr>
      </w:pPr>
      <w:r>
        <w:rPr>
          <w:b/>
        </w:rPr>
        <w:t xml:space="preserve">8. </w:t>
      </w:r>
      <w:r>
        <w:rPr>
          <w:b/>
          <w:color w:val="000000"/>
        </w:rPr>
        <w:t>Закупочная комиссия рассмотрела заявки на участие в конкурсе в соответствии с требованиями и условиями, установленным в конкурсной документации, и приняла следующее решение:</w:t>
      </w:r>
    </w:p>
    <w:p>
      <w:pPr>
        <w:pStyle w:val="Style15"/>
        <w:spacing w:before="0" w:after="0"/>
        <w:jc w:val="both"/>
        <w:rPr/>
      </w:pPr>
      <w:r>
        <w:rPr>
          <w:b/>
          <w:color w:val="000000"/>
        </w:rPr>
        <w:t>Регистрационный номер заявки 1.</w:t>
      </w:r>
      <w:r>
        <w:rPr>
          <w:color w:val="000000"/>
        </w:rPr>
        <w:t xml:space="preserve"> ПАО СК «Росгосстрах» - предъявленная заявка соответствует требованиям, установленным в извещении о проведении закупки и документации о закупке.</w:t>
      </w:r>
      <w:r>
        <w:rPr/>
        <w:t xml:space="preserve"> Участник закупки допущен.</w:t>
      </w:r>
    </w:p>
    <w:tbl>
      <w:tblPr>
        <w:tblW w:w="104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74"/>
        <w:gridCol w:w="3474"/>
        <w:gridCol w:w="3474"/>
      </w:tblGrid>
      <w:tr>
        <w:trPr/>
        <w:tc>
          <w:tcPr>
            <w:tcW w:w="3474" w:type="dxa"/>
            <w:tcBorders/>
          </w:tcPr>
          <w:p>
            <w:pPr>
              <w:pStyle w:val="Style15"/>
              <w:spacing w:before="0" w:after="0"/>
              <w:jc w:val="both"/>
              <w:rPr/>
            </w:pPr>
            <w:r>
              <w:rPr/>
              <w:t xml:space="preserve">Проголосовало «за» - 4 ч.       </w:t>
            </w:r>
          </w:p>
        </w:tc>
        <w:tc>
          <w:tcPr>
            <w:tcW w:w="3474" w:type="dxa"/>
            <w:tcBorders/>
          </w:tcPr>
          <w:p>
            <w:pPr>
              <w:pStyle w:val="Style15"/>
              <w:spacing w:before="0" w:after="0"/>
              <w:jc w:val="both"/>
              <w:rPr>
                <w:color w:val="000000"/>
              </w:rPr>
            </w:pPr>
            <w:r>
              <w:rPr/>
              <w:t>Проголосовало «против» - 0</w:t>
            </w:r>
          </w:p>
        </w:tc>
        <w:tc>
          <w:tcPr>
            <w:tcW w:w="3474" w:type="dxa"/>
            <w:tcBorders/>
          </w:tcPr>
          <w:p>
            <w:pPr>
              <w:pStyle w:val="Style15"/>
              <w:spacing w:before="0" w:after="0"/>
              <w:rPr/>
            </w:pPr>
            <w:r>
              <w:rPr/>
              <w:t>Воздержалось – 0</w:t>
            </w:r>
          </w:p>
          <w:p>
            <w:pPr>
              <w:pStyle w:val="Style15"/>
              <w:spacing w:before="0" w:after="0"/>
              <w:rPr/>
            </w:pPr>
            <w:r>
              <w:rPr/>
            </w:r>
          </w:p>
        </w:tc>
      </w:tr>
    </w:tbl>
    <w:p>
      <w:pPr>
        <w:pStyle w:val="Style15"/>
        <w:spacing w:before="0" w:after="0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Style15"/>
        <w:spacing w:before="0" w:after="0"/>
        <w:jc w:val="both"/>
        <w:rPr/>
      </w:pPr>
      <w:r>
        <w:rPr>
          <w:b/>
          <w:color w:val="000000"/>
        </w:rPr>
        <w:t>Сведения об отклоненных заявках</w:t>
      </w:r>
      <w:r>
        <w:rPr>
          <w:color w:val="000000"/>
        </w:rPr>
        <w:t>: Отклоненных заявок нет</w:t>
      </w:r>
      <w:r>
        <w:rPr/>
        <w:t>.</w:t>
      </w:r>
    </w:p>
    <w:p>
      <w:pPr>
        <w:pStyle w:val="Style15"/>
        <w:spacing w:before="0" w:after="0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В связи с тем, что на участие в конкурсе подана только одна заявка, закупочная комиссия приняла решение признать закупку несостоявшейся в соответствии с подпунктом 3 пункта 10.9.1 Положения о закупках товаров, работ, услуг ГАУ ВО «Владоблгосэкспертиза».</w:t>
      </w:r>
    </w:p>
    <w:p>
      <w:pPr>
        <w:pStyle w:val="Style15"/>
        <w:spacing w:before="0" w:after="0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Style15"/>
        <w:spacing w:before="0" w:after="0"/>
        <w:jc w:val="both"/>
        <w:rPr>
          <w:color w:val="000000"/>
        </w:rPr>
      </w:pPr>
      <w:r>
        <w:rPr>
          <w:b/>
          <w:color w:val="000000"/>
        </w:rPr>
        <w:t>9.</w:t>
      </w:r>
      <w:r>
        <w:rPr>
          <w:color w:val="000000"/>
        </w:rPr>
        <w:t xml:space="preserve"> </w:t>
      </w:r>
      <w:r>
        <w:rPr>
          <w:color w:val="000000"/>
          <w:sz w:val="22"/>
          <w:szCs w:val="22"/>
        </w:rPr>
        <w:t>Комиссия подведет итоги в сроки, указанные в извещении о проведении настоящего конкурса.</w:t>
      </w:r>
    </w:p>
    <w:p>
      <w:pPr>
        <w:pStyle w:val="Style15"/>
        <w:spacing w:before="0" w:after="0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Style15"/>
        <w:spacing w:before="0" w:after="0"/>
        <w:jc w:val="both"/>
        <w:rPr>
          <w:b/>
          <w:color w:val="000000"/>
        </w:rPr>
      </w:pPr>
      <w:r>
        <w:rPr>
          <w:b/>
          <w:color w:val="000000"/>
        </w:rPr>
        <w:t xml:space="preserve">10. </w:t>
      </w:r>
      <w:r>
        <w:rPr>
          <w:color w:val="000000"/>
        </w:rPr>
        <w:t xml:space="preserve">Протокол рассмотрения заявок на участие в конкурсе составлен на 2 листах, в одном экземпляре. Настоящий протокол подлежит размещению на официальном </w:t>
      </w:r>
      <w:r>
        <w:rPr/>
        <w:t xml:space="preserve">сайте  </w:t>
      </w:r>
      <w:hyperlink r:id="rId5">
        <w:r>
          <w:rPr>
            <w:rStyle w:val="Hyperlink"/>
            <w:lang w:val="en-US"/>
          </w:rPr>
          <w:t>www</w:t>
        </w:r>
        <w:r>
          <w:rPr>
            <w:rStyle w:val="Hyperlink"/>
          </w:rPr>
          <w:t>.</w:t>
        </w:r>
        <w:r>
          <w:rPr>
            <w:rStyle w:val="Hyperlink"/>
            <w:lang w:val="en-US"/>
          </w:rPr>
          <w:t>zakupki</w:t>
        </w:r>
        <w:r>
          <w:rPr>
            <w:rStyle w:val="Hyperlink"/>
          </w:rPr>
          <w:t>.</w:t>
        </w:r>
        <w:r>
          <w:rPr>
            <w:rStyle w:val="Hyperlink"/>
            <w:lang w:val="en-US"/>
          </w:rPr>
          <w:t>gov</w:t>
        </w:r>
        <w:r>
          <w:rPr>
            <w:rStyle w:val="Hyperlink"/>
          </w:rPr>
          <w:t>.</w:t>
        </w:r>
        <w:r>
          <w:rPr>
            <w:rStyle w:val="Hyperlink"/>
            <w:lang w:val="en-US"/>
          </w:rPr>
          <w:t>ru</w:t>
        </w:r>
      </w:hyperlink>
    </w:p>
    <w:p>
      <w:pPr>
        <w:pStyle w:val="Style15"/>
        <w:spacing w:before="0" w:after="0"/>
        <w:rPr>
          <w:b/>
          <w:color w:val="000000"/>
        </w:rPr>
      </w:pPr>
      <w:r>
        <w:rPr>
          <w:b/>
          <w:color w:val="000000"/>
        </w:rPr>
      </w:r>
    </w:p>
    <w:p>
      <w:pPr>
        <w:pStyle w:val="Style15"/>
        <w:spacing w:before="0" w:after="0"/>
        <w:rPr>
          <w:b/>
          <w:color w:val="000000"/>
        </w:rPr>
      </w:pPr>
      <w:r>
        <w:rPr>
          <w:b/>
          <w:color w:val="000000"/>
        </w:rPr>
        <w:t xml:space="preserve">11. </w:t>
      </w:r>
      <w:r>
        <w:rPr>
          <w:color w:val="000000"/>
        </w:rPr>
        <w:t>Подписи:</w:t>
      </w:r>
      <w:r>
        <w:rPr>
          <w:b/>
          <w:color w:val="000000"/>
        </w:rPr>
        <w:t xml:space="preserve"> </w:t>
      </w:r>
    </w:p>
    <w:p>
      <w:pPr>
        <w:pStyle w:val="Style15"/>
        <w:spacing w:before="0" w:after="0"/>
        <w:rPr>
          <w:b/>
          <w:color w:val="000000"/>
        </w:rPr>
      </w:pPr>
      <w:r>
        <w:rPr>
          <w:b/>
          <w:color w:val="000000"/>
        </w:rPr>
      </w:r>
    </w:p>
    <w:tbl>
      <w:tblPr>
        <w:tblW w:w="104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74"/>
        <w:gridCol w:w="3474"/>
        <w:gridCol w:w="3474"/>
      </w:tblGrid>
      <w:tr>
        <w:trPr/>
        <w:tc>
          <w:tcPr>
            <w:tcW w:w="3474" w:type="dxa"/>
            <w:tcBorders/>
            <w:vAlign w:val="bottom"/>
          </w:tcPr>
          <w:p>
            <w:pPr>
              <w:pStyle w:val="Style15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Председатель комиссии:</w:t>
            </w:r>
          </w:p>
          <w:p>
            <w:pPr>
              <w:pStyle w:val="Style15"/>
              <w:spacing w:before="0" w:after="0"/>
              <w:rPr/>
            </w:pPr>
            <w:r>
              <w:rPr>
                <w:color w:val="000000"/>
              </w:rPr>
              <w:t>«12» декабря 2025 года</w:t>
            </w:r>
          </w:p>
        </w:tc>
        <w:tc>
          <w:tcPr>
            <w:tcW w:w="3474" w:type="dxa"/>
            <w:tcBorders>
              <w:bottom w:val="single" w:sz="4" w:space="0" w:color="000000"/>
            </w:tcBorders>
            <w:vAlign w:val="bottom"/>
          </w:tcPr>
          <w:p>
            <w:pPr>
              <w:pStyle w:val="Style15"/>
              <w:snapToGrid w:val="fals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474" w:type="dxa"/>
            <w:tcBorders/>
            <w:vAlign w:val="bottom"/>
          </w:tcPr>
          <w:p>
            <w:pPr>
              <w:pStyle w:val="Style15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В.В. Пирков</w:t>
            </w:r>
          </w:p>
        </w:tc>
      </w:tr>
      <w:tr>
        <w:trPr/>
        <w:tc>
          <w:tcPr>
            <w:tcW w:w="3474" w:type="dxa"/>
            <w:tcBorders/>
            <w:vAlign w:val="bottom"/>
          </w:tcPr>
          <w:p>
            <w:pPr>
              <w:pStyle w:val="Style15"/>
              <w:snapToGrid w:val="false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Style15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Члены комиссии:</w:t>
            </w:r>
          </w:p>
        </w:tc>
        <w:tc>
          <w:tcPr>
            <w:tcW w:w="3474" w:type="dxa"/>
            <w:tcBorders>
              <w:top w:val="single" w:sz="4" w:space="0" w:color="000000"/>
            </w:tcBorders>
            <w:vAlign w:val="bottom"/>
          </w:tcPr>
          <w:p>
            <w:pPr>
              <w:pStyle w:val="Style15"/>
              <w:snapToGrid w:val="fals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474" w:type="dxa"/>
            <w:tcBorders/>
            <w:vAlign w:val="bottom"/>
          </w:tcPr>
          <w:p>
            <w:pPr>
              <w:pStyle w:val="Style15"/>
              <w:snapToGrid w:val="false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3474" w:type="dxa"/>
            <w:tcBorders/>
            <w:vAlign w:val="bottom"/>
          </w:tcPr>
          <w:p>
            <w:pPr>
              <w:pStyle w:val="Style15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«12» декабря 2025 года</w:t>
            </w:r>
          </w:p>
        </w:tc>
        <w:tc>
          <w:tcPr>
            <w:tcW w:w="3474" w:type="dxa"/>
            <w:tcBorders>
              <w:bottom w:val="single" w:sz="4" w:space="0" w:color="000000"/>
            </w:tcBorders>
            <w:vAlign w:val="bottom"/>
          </w:tcPr>
          <w:p>
            <w:pPr>
              <w:pStyle w:val="Style15"/>
              <w:snapToGrid w:val="fals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474" w:type="dxa"/>
            <w:tcBorders/>
            <w:vAlign w:val="bottom"/>
          </w:tcPr>
          <w:p>
            <w:pPr>
              <w:pStyle w:val="Style15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И.В. Блинов</w:t>
            </w:r>
          </w:p>
        </w:tc>
      </w:tr>
      <w:tr>
        <w:trPr/>
        <w:tc>
          <w:tcPr>
            <w:tcW w:w="3474" w:type="dxa"/>
            <w:tcBorders/>
            <w:vAlign w:val="bottom"/>
          </w:tcPr>
          <w:p>
            <w:pPr>
              <w:pStyle w:val="Style15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«12» декабря 2025 года</w:t>
            </w:r>
          </w:p>
        </w:tc>
        <w:tc>
          <w:tcPr>
            <w:tcW w:w="34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5"/>
              <w:snapToGrid w:val="fals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474" w:type="dxa"/>
            <w:tcBorders/>
            <w:vAlign w:val="bottom"/>
          </w:tcPr>
          <w:p>
            <w:pPr>
              <w:pStyle w:val="Style15"/>
              <w:snapToGrid w:val="false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Style15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А.В. Новикова</w:t>
            </w:r>
          </w:p>
        </w:tc>
      </w:tr>
      <w:tr>
        <w:trPr/>
        <w:tc>
          <w:tcPr>
            <w:tcW w:w="3474" w:type="dxa"/>
            <w:tcBorders/>
            <w:vAlign w:val="bottom"/>
          </w:tcPr>
          <w:p>
            <w:pPr>
              <w:pStyle w:val="Style15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«12» декабря 2025 года</w:t>
            </w:r>
          </w:p>
        </w:tc>
        <w:tc>
          <w:tcPr>
            <w:tcW w:w="34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5"/>
              <w:snapToGrid w:val="fals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474" w:type="dxa"/>
            <w:tcBorders/>
            <w:vAlign w:val="bottom"/>
          </w:tcPr>
          <w:p>
            <w:pPr>
              <w:pStyle w:val="Style15"/>
              <w:snapToGrid w:val="false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Style15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Е.О. Левит</w:t>
            </w:r>
          </w:p>
        </w:tc>
      </w:tr>
    </w:tbl>
    <w:p>
      <w:pPr>
        <w:pStyle w:val="Style15"/>
        <w:spacing w:before="0" w:after="0"/>
        <w:rPr>
          <w:b/>
          <w:color w:val="000000"/>
        </w:rPr>
      </w:pPr>
      <w:r>
        <w:rPr>
          <w:b/>
          <w:color w:val="000000"/>
        </w:rPr>
      </w:r>
    </w:p>
    <w:p>
      <w:pPr>
        <w:pStyle w:val="Style15"/>
        <w:spacing w:before="0" w:after="0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sectPr>
      <w:footerReference w:type="default" r:id="rId6"/>
      <w:type w:val="nextPage"/>
      <w:pgSz w:w="11906" w:h="16838"/>
      <w:pgMar w:left="1134" w:right="566" w:gutter="0" w:header="0" w:top="719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252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before="480" w:after="240"/>
      <w:outlineLvl w:val="2"/>
    </w:pPr>
    <w:rPr>
      <w:b/>
      <w:bCs/>
      <w:sz w:val="31"/>
      <w:szCs w:val="31"/>
    </w:rPr>
  </w:style>
  <w:style w:type="character" w:styleId="Style13">
    <w:name w:val="Основной шрифт абзаца"/>
    <w:qFormat/>
    <w:rPr/>
  </w:style>
  <w:style w:type="character" w:styleId="Hyperlink">
    <w:name w:val="Hyperlink"/>
    <w:rPr>
      <w:color w:val="335588"/>
      <w:u w:val="single"/>
    </w:rPr>
  </w:style>
  <w:style w:type="character" w:styleId="PageNumber">
    <w:name w:val="page number"/>
    <w:basedOn w:val="Style13"/>
    <w:rPr/>
  </w:style>
  <w:style w:type="character" w:styleId="Style14">
    <w:name w:val="Верхний колонтитул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5">
    <w:name w:val="Обычный (веб)"/>
    <w:basedOn w:val="Normal"/>
    <w:qFormat/>
    <w:pPr>
      <w:spacing w:before="0" w:after="144"/>
    </w:pPr>
    <w:rPr/>
  </w:style>
  <w:style w:type="paragraph" w:styleId="BodyTextIndent">
    <w:name w:val="Body Text Indent"/>
    <w:basedOn w:val="Normal"/>
    <w:pPr>
      <w:ind w:firstLine="720" w:start="0" w:end="0"/>
      <w:jc w:val="center"/>
    </w:pPr>
    <w:rPr>
      <w:sz w:val="26"/>
      <w:szCs w:val="20"/>
    </w:rPr>
  </w:style>
  <w:style w:type="paragraph" w:styleId="2">
    <w:name w:val="Основной текст с отступом 2"/>
    <w:basedOn w:val="Normal"/>
    <w:qFormat/>
    <w:pPr>
      <w:ind w:firstLine="709" w:start="0" w:end="0"/>
      <w:jc w:val="both"/>
    </w:pPr>
    <w:rPr>
      <w:sz w:val="26"/>
      <w:szCs w:val="20"/>
    </w:rPr>
  </w:style>
  <w:style w:type="paragraph" w:styleId="Style16">
    <w:name w:val="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Style1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8">
    <w:name w:val="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Style19">
    <w:name w:val=" Знак Знак Знак Знак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0">
    <w:name w:val=" Знак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blanker.ru/doc/protokol-rassmotreniya-kotirovochnih-zayavok" TargetMode="External"/><Relationship Id="rId3" Type="http://schemas.openxmlformats.org/officeDocument/2006/relationships/hyperlink" Target="http://blanker.ru/doc/protokol-rassmotreniya-kotirovochnih-zayavok" TargetMode="External"/><Relationship Id="rId4" Type="http://schemas.openxmlformats.org/officeDocument/2006/relationships/hyperlink" Target="http://utp.sberbank-ast.ru/" TargetMode="External"/><Relationship Id="rId5" Type="http://schemas.openxmlformats.org/officeDocument/2006/relationships/hyperlink" Target="http://www.zakupki.gov.ru/" TargetMode="Externa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2023-12-14T07:42:00Z</dcterms:created>
  <dc:creator>Юлия</dc:creator>
  <dc:description/>
  <cp:keywords/>
  <dc:language>en-US</dc:language>
  <cp:lastModifiedBy>Грабова</cp:lastModifiedBy>
  <cp:lastPrinted>2025-12-12T10:32:00Z</cp:lastPrinted>
  <dcterms:modified xsi:type="dcterms:W3CDTF">2025-12-12T07:38:00Z</dcterms:modified>
  <cp:revision>7</cp:revision>
  <dc:subject/>
  <dc:title>Протокол рассмотрения и оценки котировочных заявок №___</dc:title>
</cp:coreProperties>
</file>