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000000"/>
        </w:rPr>
      </w:pPr>
      <w:bookmarkStart w:id="0" w:name="_Ref93295407"/>
      <w:bookmarkEnd w:id="0"/>
      <w:r>
        <w:rPr>
          <w:rFonts w:cs="Impact" w:ascii="Impact" w:hAnsi="Impact"/>
          <w:i/>
          <w:color w:val="000000"/>
          <w:sz w:val="16"/>
          <w:szCs w:val="16"/>
          <w:lang w:val="en-US" w:eastAsia="en-US"/>
        </w:rPr>
        <w:drawing>
          <wp:inline distT="0" distB="0" distL="0" distR="0">
            <wp:extent cx="1130300" cy="565150"/>
            <wp:effectExtent l="0" t="0" r="0" b="0"/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2" t="-63" r="-32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56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Impact" w:hAnsi="Impact" w:cs="Impact"/>
          <w:color w:val="000000"/>
          <w:sz w:val="16"/>
          <w:szCs w:val="16"/>
          <w:lang w:val="en-US" w:eastAsia="en-US"/>
        </w:rPr>
      </w:pPr>
      <w:r>
        <w:rPr>
          <w:rFonts w:cs="Impact" w:ascii="Impact" w:hAnsi="Impact"/>
          <w:color w:val="000000"/>
          <w:sz w:val="16"/>
          <w:szCs w:val="1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0</wp:posOffset>
                </wp:positionH>
                <wp:positionV relativeFrom="paragraph">
                  <wp:posOffset>168275</wp:posOffset>
                </wp:positionV>
                <wp:extent cx="6293485" cy="0"/>
                <wp:effectExtent l="0" t="28575" r="0" b="28575"/>
                <wp:wrapNone/>
                <wp:docPr id="2" name="Прямая соединительная линия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3520" cy="0"/>
                        </a:xfrm>
                        <a:prstGeom prst="line">
                          <a:avLst/>
                        </a:prstGeom>
                        <a:ln w="57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13.25pt" to="495.5pt,13.25pt" ID="Прямая соединительная линия 6" stroked="t" o:allowincell="f" style="position:absolute">
                <v:stroke color="black" weight="57240" joinstyle="miter" endcap="flat"/>
                <v:fill o:detectmouseclick="t" on="false"/>
                <w10:wrap type="none"/>
              </v:line>
            </w:pict>
          </mc:Fallback>
        </mc:AlternateContent>
      </w:r>
      <w:bookmarkStart w:id="1" w:name="_Ref93295407"/>
      <w:bookmarkStart w:id="2" w:name="_Ref93295407"/>
      <w:bookmarkEnd w:id="2"/>
    </w:p>
    <w:p>
      <w:pPr>
        <w:pStyle w:val="13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caps/>
          <w:color w:val="000000"/>
          <w:sz w:val="10"/>
          <w:szCs w:val="10"/>
        </w:rPr>
      </w:pPr>
      <w:r>
        <w:rPr>
          <w:rFonts w:cs="Times New Roman" w:ascii="Times New Roman" w:hAnsi="Times New Roman"/>
          <w:caps/>
          <w:color w:val="000000"/>
          <w:sz w:val="10"/>
          <w:szCs w:val="10"/>
        </w:rPr>
      </w:r>
    </w:p>
    <w:p>
      <w:pPr>
        <w:pStyle w:val="13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caps/>
          <w:sz w:val="24"/>
          <w:szCs w:val="24"/>
          <w:lang w:val="en-US"/>
        </w:rPr>
      </w:pPr>
      <w:r>
        <w:rPr>
          <w:rFonts w:cs="Times New Roman" w:ascii="Times New Roman" w:hAnsi="Times New Roman"/>
          <w:caps/>
          <w:sz w:val="24"/>
          <w:szCs w:val="24"/>
        </w:rPr>
        <w:t xml:space="preserve">Протокол № </w:t>
      </w:r>
      <w:r>
        <w:rPr>
          <w:rFonts w:cs="Times New Roman" w:ascii="Times New Roman" w:hAnsi="Times New Roman"/>
          <w:caps/>
          <w:sz w:val="24"/>
          <w:szCs w:val="24"/>
          <w:lang w:val="en-US"/>
        </w:rPr>
        <w:t>2</w:t>
      </w:r>
      <w:r>
        <w:rPr>
          <w:rFonts w:cs="Times New Roman" w:ascii="Times New Roman" w:hAnsi="Times New Roman"/>
          <w:caps/>
          <w:sz w:val="24"/>
          <w:szCs w:val="24"/>
        </w:rPr>
        <w:t>/</w:t>
      </w:r>
      <w:r>
        <w:rPr>
          <w:rFonts w:cs="Times New Roman" w:ascii="Times New Roman" w:hAnsi="Times New Roman"/>
          <w:caps/>
          <w:sz w:val="24"/>
          <w:szCs w:val="24"/>
          <w:lang w:val="en-US"/>
        </w:rPr>
        <w:t>ЕУ</w:t>
      </w:r>
    </w:p>
    <w:p>
      <w:pPr>
        <w:pStyle w:val="13"/>
        <w:numPr>
          <w:ilvl w:val="0"/>
          <w:numId w:val="0"/>
        </w:numPr>
        <w:spacing w:before="0" w:after="0"/>
        <w:ind w:hanging="0" w:start="0"/>
        <w:jc w:val="center"/>
        <w:rPr>
          <w:sz w:val="10"/>
          <w:szCs w:val="10"/>
        </w:rPr>
      </w:pPr>
      <w:r>
        <w:rPr>
          <w:rFonts w:cs="Times New Roman" w:ascii="Times New Roman" w:hAnsi="Times New Roman"/>
          <w:sz w:val="24"/>
          <w:szCs w:val="24"/>
        </w:rPr>
        <w:t>заседания закупочной комиссии</w:t>
      </w:r>
    </w:p>
    <w:p>
      <w:pPr>
        <w:pStyle w:val="Normal"/>
        <w:tabs>
          <w:tab w:val="clear" w:pos="709"/>
          <w:tab w:val="right" w:pos="9639" w:leader="none"/>
        </w:tabs>
        <w:spacing w:lineRule="auto" w:line="240"/>
        <w:ind w:hanging="0" w:end="0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Normal"/>
        <w:tabs>
          <w:tab w:val="clear" w:pos="709"/>
          <w:tab w:val="right" w:pos="9639" w:leader="none"/>
        </w:tabs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  <w:t xml:space="preserve">г. Москва </w:t>
        <w:tab/>
        <w:t>«</w:t>
      </w:r>
      <w:r>
        <w:rPr>
          <w:sz w:val="24"/>
          <w:szCs w:val="24"/>
          <w:lang w:val="en-US"/>
        </w:rPr>
        <w:t>27</w:t>
      </w:r>
      <w:r>
        <w:rPr>
          <w:sz w:val="24"/>
          <w:szCs w:val="24"/>
        </w:rPr>
        <w:t xml:space="preserve">» </w:t>
      </w:r>
      <w:r>
        <w:rPr>
          <w:sz w:val="24"/>
          <w:szCs w:val="24"/>
          <w:lang w:val="en-US"/>
        </w:rPr>
        <w:t>февраля</w:t>
      </w:r>
      <w:r>
        <w:rPr>
          <w:sz w:val="24"/>
          <w:szCs w:val="24"/>
        </w:rPr>
        <w:t xml:space="preserve"> 202</w:t>
      </w:r>
      <w:r>
        <w:rPr>
          <w:sz w:val="24"/>
          <w:szCs w:val="24"/>
          <w:lang w:val="en-US"/>
        </w:rPr>
        <w:t>5</w:t>
      </w:r>
      <w:r>
        <w:rPr>
          <w:sz w:val="24"/>
          <w:szCs w:val="24"/>
        </w:rPr>
        <w:t xml:space="preserve"> года</w:t>
      </w:r>
    </w:p>
    <w:p>
      <w:pPr>
        <w:pStyle w:val="Normal"/>
        <w:suppressAutoHyphens w:val="tru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uppressAutoHyphens w:val="tru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СПОСОБ И ПРЕДМЕТ ЗАКУПКИ:</w:t>
      </w:r>
    </w:p>
    <w:p>
      <w:pPr>
        <w:pStyle w:val="Normal"/>
        <w:suppressAutoHyphens w:val="true"/>
        <w:spacing w:lineRule="auto" w:line="240"/>
        <w:ind w:hanging="0" w:end="0"/>
        <w:rPr>
          <w:bCs/>
          <w:sz w:val="24"/>
        </w:rPr>
      </w:pPr>
      <w:r>
        <w:rPr>
          <w:sz w:val="24"/>
        </w:rPr>
        <w:t>конкурс в электронной форме на право заключения договора по лоту: ОКПД2 43.29 Выполнение комплекса пуско-наладочных работ и испытаний тепломеханического и электротехнического оборудования в рамках реализации проекта «Расширение Партизанской ГРЭС» для нужд АО «Усть-СреднеканГЭСстрой» (лот № 0009-КС ДОХ-2025-УСГС)</w:t>
      </w:r>
      <w:r>
        <w:rPr>
          <w:bCs/>
          <w:sz w:val="24"/>
        </w:rPr>
        <w:t>.</w:t>
      </w:r>
    </w:p>
    <w:p>
      <w:pPr>
        <w:pStyle w:val="Normal"/>
        <w:suppressAutoHyphens w:val="true"/>
        <w:spacing w:lineRule="auto" w:line="240"/>
        <w:ind w:hanging="0" w:end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uppressAutoHyphens w:val="true"/>
        <w:spacing w:lineRule="auto" w:line="240"/>
        <w:ind w:hanging="0" w:end="0"/>
        <w:rPr>
          <w:sz w:val="24"/>
          <w:szCs w:val="24"/>
        </w:rPr>
      </w:pPr>
      <w:r>
        <w:rPr>
          <w:b/>
          <w:sz w:val="24"/>
          <w:szCs w:val="24"/>
        </w:rPr>
        <w:t xml:space="preserve">КОЛИЧЕСТВО ПОДАННЫХ ЗАЯВОК НА УЧАСТИЕ В ЗАКУПКЕ: </w:t>
      </w:r>
      <w:r>
        <w:rPr>
          <w:sz w:val="24"/>
          <w:szCs w:val="24"/>
        </w:rPr>
        <w:t>1 (Одна) заявка.</w:t>
      </w:r>
    </w:p>
    <w:p>
      <w:pPr>
        <w:pStyle w:val="Normal"/>
        <w:suppressAutoHyphens w:val="true"/>
        <w:spacing w:lineRule="auto" w:line="240"/>
        <w:ind w:hanging="0" w:end="0"/>
        <w:rPr>
          <w:b/>
          <w:sz w:val="14"/>
          <w:szCs w:val="14"/>
        </w:rPr>
      </w:pPr>
      <w:r>
        <w:rPr>
          <w:b/>
          <w:sz w:val="14"/>
          <w:szCs w:val="14"/>
        </w:rPr>
      </w:r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2127"/>
        <w:gridCol w:w="7371"/>
      </w:tblGrid>
      <w:tr>
        <w:trPr>
          <w:tblHeader w:val="true"/>
          <w:trHeight w:val="739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Style24"/>
              <w:spacing w:before="0" w:after="0"/>
              <w:ind w:start="-81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</w:t>
            </w:r>
            <w:r>
              <w:rPr>
                <w:sz w:val="22"/>
                <w:szCs w:val="22"/>
              </w:rPr>
              <w:t>п/п</w:t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Style24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73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2F2F2" w:val="clear"/>
            <w:vAlign w:val="center"/>
          </w:tcPr>
          <w:p>
            <w:pPr>
              <w:pStyle w:val="Style24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Наименование, адрес и ИНН Участника и / или идентификационный номер его заявки</w:t>
            </w:r>
          </w:p>
        </w:tc>
      </w:tr>
      <w:tr>
        <w:trPr>
          <w:trHeight w:val="524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8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7" w:start="-60" w:end="-88"/>
              <w:jc w:val="center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30.01.2025 07:03:56</w:t>
            </w:r>
          </w:p>
        </w:tc>
        <w:tc>
          <w:tcPr>
            <w:tcW w:w="73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4" w:start="-51" w:end="-1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АО «Сибтехэнерго» (630032, Новосибирская обл., г. Новосибирск, ул. Планировочная, зд. 18/1, офис 314, ИНН: 5404105135)</w:t>
            </w:r>
          </w:p>
        </w:tc>
      </w:tr>
    </w:tbl>
    <w:p>
      <w:pPr>
        <w:pStyle w:val="Normal"/>
        <w:suppressAutoHyphens w:val="true"/>
        <w:spacing w:lineRule="auto" w:line="240"/>
        <w:ind w:hanging="0" w:end="0"/>
        <w:rPr>
          <w:b/>
          <w:sz w:val="14"/>
          <w:szCs w:val="14"/>
        </w:rPr>
      </w:pPr>
      <w:r>
        <w:rPr>
          <w:b/>
          <w:sz w:val="14"/>
          <w:szCs w:val="14"/>
        </w:rPr>
      </w:r>
    </w:p>
    <w:p>
      <w:pPr>
        <w:pStyle w:val="Normal"/>
        <w:suppressAutoHyphens w:val="true"/>
        <w:spacing w:lineRule="auto" w:line="240"/>
        <w:ind w:hanging="0" w:end="-426"/>
        <w:rPr>
          <w:sz w:val="24"/>
          <w:szCs w:val="24"/>
        </w:rPr>
      </w:pPr>
      <w:r>
        <w:rPr>
          <w:b/>
          <w:sz w:val="24"/>
          <w:szCs w:val="24"/>
        </w:rPr>
        <w:t xml:space="preserve">КОЛИЧЕСТВО ОТКЛОНЯЕМЫХ ЗАЯВОК НА УЧАСТИЕ В ЗАКУПКЕ: </w:t>
      </w:r>
      <w:r>
        <w:rPr>
          <w:sz w:val="24"/>
          <w:szCs w:val="24"/>
        </w:rPr>
        <w:t>0 (Ноль) заявок.</w:t>
      </w:r>
    </w:p>
    <w:p>
      <w:pPr>
        <w:pStyle w:val="Normal"/>
        <w:suppressAutoHyphens w:val="tru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uppressAutoHyphens w:val="true"/>
        <w:spacing w:lineRule="auto" w:line="240"/>
        <w:ind w:hanging="0" w:end="0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ВОПРОСЫ, ВЫНОСИМЫЕ НА РАССМОТРЕНИЕ ЗАКУПОЧНОЙ КОМИССИИ:</w:t>
      </w:r>
    </w:p>
    <w:p>
      <w:pPr>
        <w:pStyle w:val="Normal"/>
        <w:spacing w:lineRule="auto" w:line="240" w:before="240" w:after="240"/>
        <w:ind w:hanging="0" w:end="57"/>
        <w:rPr/>
      </w:pPr>
      <w:r>
        <w:rPr>
          <w:b/>
          <w:sz w:val="24"/>
          <w:szCs w:val="24"/>
          <w:u w:val="single"/>
        </w:rPr>
        <w:t>ВОПРОС № 1</w:t>
      </w:r>
      <w:r>
        <w:rPr>
          <w:b/>
          <w:sz w:val="24"/>
          <w:szCs w:val="24"/>
        </w:rPr>
        <w:t>: о рассмотрении результатов оценки заявок</w:t>
      </w:r>
    </w:p>
    <w:p>
      <w:pPr>
        <w:pStyle w:val="Normal"/>
        <w:spacing w:lineRule="auto" w:line="240" w:before="0" w:after="12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РЕШИЛИ: </w:t>
      </w:r>
    </w:p>
    <w:p>
      <w:pPr>
        <w:pStyle w:val="Normal"/>
        <w:widowControl w:val="false"/>
        <w:numPr>
          <w:ilvl w:val="0"/>
          <w:numId w:val="10"/>
        </w:numPr>
        <w:tabs>
          <w:tab w:val="clear" w:pos="709"/>
          <w:tab w:val="left" w:pos="284" w:leader="none"/>
        </w:tabs>
        <w:spacing w:lineRule="auto" w:line="240"/>
        <w:ind w:hanging="284" w:start="284" w:end="0"/>
        <w:jc w:val="start"/>
        <w:rPr>
          <w:sz w:val="24"/>
          <w:szCs w:val="24"/>
        </w:rPr>
      </w:pPr>
      <w:r>
        <w:rPr>
          <w:sz w:val="24"/>
          <w:szCs w:val="24"/>
        </w:rPr>
        <w:t>Признать объем полученной информации достаточным для принятия решения.</w:t>
      </w:r>
    </w:p>
    <w:p>
      <w:pPr>
        <w:pStyle w:val="Normal"/>
        <w:widowControl w:val="false"/>
        <w:numPr>
          <w:ilvl w:val="0"/>
          <w:numId w:val="7"/>
        </w:numPr>
        <w:tabs>
          <w:tab w:val="clear" w:pos="709"/>
          <w:tab w:val="left" w:pos="284" w:leader="none"/>
        </w:tabs>
        <w:spacing w:lineRule="auto" w:line="240"/>
        <w:ind w:hanging="284" w:start="284" w:end="0"/>
        <w:jc w:val="start"/>
        <w:rPr>
          <w:sz w:val="24"/>
          <w:szCs w:val="24"/>
        </w:rPr>
      </w:pPr>
      <w:r>
        <w:rPr>
          <w:sz w:val="24"/>
          <w:szCs w:val="24"/>
        </w:rPr>
        <w:t>Принять к рассмотрению заявку следующего участника:</w:t>
      </w:r>
    </w:p>
    <w:p>
      <w:pPr>
        <w:pStyle w:val="Normal"/>
        <w:widowControl w:val="false"/>
        <w:autoSpaceDE w:val="false"/>
        <w:spacing w:lineRule="auto" w:line="240" w:before="0" w:after="0"/>
        <w:ind w:hanging="0" w:end="0"/>
        <w:contextualSpacing/>
        <w:jc w:val="start"/>
        <w:rPr>
          <w:sz w:val="10"/>
          <w:szCs w:val="10"/>
          <w:highlight w:val="yellow"/>
        </w:rPr>
      </w:pPr>
      <w:r>
        <w:rPr>
          <w:sz w:val="10"/>
          <w:szCs w:val="10"/>
          <w:highlight w:val="yellow"/>
        </w:rPr>
      </w:r>
    </w:p>
    <w:tbl>
      <w:tblPr>
        <w:tblW w:w="51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"/>
        <w:gridCol w:w="1451"/>
        <w:gridCol w:w="5910"/>
        <w:gridCol w:w="1918"/>
      </w:tblGrid>
      <w:tr>
        <w:trPr>
          <w:tblHeader w:val="true"/>
          <w:trHeight w:val="841" w:hRule="atLeast"/>
        </w:trPr>
        <w:tc>
          <w:tcPr>
            <w:tcW w:w="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Next w:val="true"/>
              <w:spacing w:lineRule="auto" w:line="240"/>
              <w:ind w:hanging="0" w:start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keepNext w:val="true"/>
              <w:spacing w:lineRule="auto" w:line="240"/>
              <w:ind w:hanging="0" w:start="34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Next w:val="true"/>
              <w:spacing w:lineRule="auto" w:line="240"/>
              <w:ind w:hanging="0" w:start="-48" w:end="-5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5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keepNext w:val="true"/>
              <w:spacing w:lineRule="auto" w:line="240"/>
              <w:ind w:hanging="0" w:start="-48" w:end="-54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Наименование, адрес и ИНН Участника и / или идентификационный номер его заявки</w:t>
            </w:r>
          </w:p>
        </w:tc>
        <w:tc>
          <w:tcPr>
            <w:tcW w:w="1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Цена заявки, руб. без НДС</w:t>
            </w:r>
          </w:p>
        </w:tc>
      </w:tr>
      <w:tr>
        <w:trPr>
          <w:trHeight w:val="816" w:hRule="atLeast"/>
        </w:trPr>
        <w:tc>
          <w:tcPr>
            <w:tcW w:w="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9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7" w:start="-60" w:end="-88"/>
              <w:jc w:val="center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30.01.2025 07:03:56</w:t>
            </w:r>
          </w:p>
        </w:tc>
        <w:tc>
          <w:tcPr>
            <w:tcW w:w="5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4" w:start="-51" w:end="-1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АО «Сибтехэнерго» (630032, Новосибирская обл., г. Новосибирск, ул. Планировочная, зд. 18/1, офис 314, ИНН: 5404105135)</w:t>
            </w:r>
          </w:p>
        </w:tc>
        <w:tc>
          <w:tcPr>
            <w:tcW w:w="1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7" w:start="-60" w:end="-20"/>
              <w:jc w:val="center"/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734 000 008,37</w:t>
            </w:r>
          </w:p>
        </w:tc>
      </w:tr>
    </w:tbl>
    <w:p>
      <w:pPr>
        <w:pStyle w:val="Normal"/>
        <w:spacing w:lineRule="auto" w:line="240" w:before="240" w:after="240"/>
        <w:ind w:hanging="0" w:end="-142"/>
        <w:rPr/>
      </w:pPr>
      <w:r>
        <w:rPr>
          <w:b/>
          <w:sz w:val="24"/>
          <w:szCs w:val="24"/>
          <w:u w:val="single"/>
        </w:rPr>
        <w:t>ВОПРОС № 2</w:t>
      </w:r>
      <w:r>
        <w:rPr>
          <w:b/>
          <w:sz w:val="24"/>
          <w:szCs w:val="24"/>
        </w:rPr>
        <w:t>: о признании заявки Участника АО «Сибтехэнерго» соответствующей условиям Документации о закупке (далее – ДоЗ)</w:t>
      </w:r>
    </w:p>
    <w:p>
      <w:pPr>
        <w:pStyle w:val="Normal"/>
        <w:spacing w:lineRule="auto" w:line="240" w:before="0" w:after="12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  <w:t>Признать заявку АО «Сибтехэнерго» соответствующей по существу условиям ДоЗ и принять её к дальнейшему рассмотрению.</w:t>
      </w:r>
    </w:p>
    <w:p>
      <w:pPr>
        <w:pStyle w:val="Normal"/>
        <w:spacing w:lineRule="auto" w:line="240" w:before="240" w:after="240"/>
        <w:ind w:hanging="0" w:end="-142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ВОПРОС № </w:t>
      </w:r>
      <w:r>
        <w:rPr>
          <w:b/>
          <w:sz w:val="24"/>
          <w:szCs w:val="24"/>
          <w:u w:val="single"/>
          <w:lang w:val="en-US"/>
        </w:rPr>
        <w:t>3</w:t>
      </w:r>
      <w:r>
        <w:rPr>
          <w:b/>
          <w:sz w:val="24"/>
          <w:szCs w:val="24"/>
        </w:rPr>
        <w:t xml:space="preserve">: о </w:t>
      </w:r>
      <w:r>
        <w:rPr>
          <w:b/>
          <w:sz w:val="24"/>
        </w:rPr>
        <w:t>признании закупки несостоявшейся</w:t>
      </w:r>
    </w:p>
    <w:p>
      <w:pPr>
        <w:pStyle w:val="Normal"/>
        <w:spacing w:lineRule="auto" w:line="240" w:before="0" w:after="12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tabs>
          <w:tab w:val="clear" w:pos="709"/>
          <w:tab w:val="left" w:pos="5940" w:leader="none"/>
        </w:tabs>
        <w:suppressAutoHyphens w:val="true"/>
        <w:spacing w:lineRule="auto" w:line="240"/>
        <w:ind w:hanging="0" w:end="0"/>
        <w:rPr>
          <w:b/>
          <w:caps/>
          <w:spacing w:val="4"/>
          <w:sz w:val="24"/>
          <w:szCs w:val="24"/>
        </w:rPr>
      </w:pPr>
      <w:r>
        <w:rPr>
          <w:sz w:val="24"/>
          <w:szCs w:val="24"/>
        </w:rPr>
        <w:t>Признать закупку несостоявшейся на основании п.п. а) п. 4.15.1 ДоЗ, так как по окончанию срока подачи заявок поступило менее 2 (двух) заявок (с учетом возможных отзывов заявок).</w:t>
      </w:r>
    </w:p>
    <w:p>
      <w:pPr>
        <w:pStyle w:val="Normal"/>
        <w:spacing w:lineRule="auto" w:line="240" w:before="240" w:after="240"/>
        <w:ind w:hanging="0" w:end="-284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ВОПРОС № </w:t>
      </w:r>
      <w:r>
        <w:rPr>
          <w:b/>
          <w:sz w:val="24"/>
          <w:szCs w:val="24"/>
          <w:u w:val="single"/>
          <w:lang w:val="en-US"/>
        </w:rPr>
        <w:t>4</w:t>
      </w:r>
      <w:r>
        <w:rPr>
          <w:b/>
          <w:sz w:val="24"/>
          <w:szCs w:val="24"/>
        </w:rPr>
        <w:t xml:space="preserve">: о </w:t>
      </w:r>
      <w:r>
        <w:rPr>
          <w:b/>
          <w:bCs/>
          <w:iCs/>
          <w:sz w:val="24"/>
          <w:szCs w:val="24"/>
        </w:rPr>
        <w:t xml:space="preserve">заключении договора с единственным участником несостоявшейся закупки </w:t>
      </w:r>
    </w:p>
    <w:p>
      <w:pPr>
        <w:pStyle w:val="Normal"/>
        <w:spacing w:lineRule="auto" w:line="240" w:before="0" w:after="12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numPr>
          <w:ilvl w:val="0"/>
          <w:numId w:val="3"/>
        </w:numPr>
        <w:tabs>
          <w:tab w:val="left" w:pos="709" w:leader="none"/>
        </w:tabs>
        <w:spacing w:lineRule="auto" w:line="240"/>
        <w:ind w:firstLine="426" w:start="0" w:end="0"/>
        <w:rPr>
          <w:sz w:val="24"/>
          <w:szCs w:val="24"/>
        </w:rPr>
      </w:pPr>
      <w:r>
        <w:rPr>
          <w:sz w:val="24"/>
          <w:szCs w:val="24"/>
        </w:rPr>
        <w:t xml:space="preserve">Заключить договор </w:t>
      </w:r>
      <w:r>
        <w:rPr>
          <w:bCs/>
          <w:sz w:val="24"/>
          <w:szCs w:val="24"/>
        </w:rPr>
        <w:t xml:space="preserve">по лоту: </w:t>
      </w:r>
      <w:r>
        <w:rPr>
          <w:sz w:val="24"/>
        </w:rPr>
        <w:t>ОКПД2 43.29 Выполнение комплекса пуско-наладочных работ и испытаний тепломеханического и электротехнического оборудования в рамках реализации проекта «Расширение Партизанской ГРЭС» для нужд АО «Усть-СреднеканГЭСстрой» (лот № 0009-КС ДОХ-2025-УСГС)</w:t>
      </w:r>
      <w:r>
        <w:rPr>
          <w:bCs/>
          <w:sz w:val="24"/>
        </w:rPr>
        <w:t xml:space="preserve"> </w:t>
      </w:r>
      <w:r>
        <w:rPr>
          <w:sz w:val="24"/>
          <w:szCs w:val="24"/>
        </w:rPr>
        <w:t xml:space="preserve">с единственным участником несостоявшейся закупки – АО «Сибтехэнерго» (630032, Новосибирская обл., г. Новосибирск, ул. Планировочная, зд. 18/1, офис 314, ИНН: 5404105135) с ценой заявки не более </w:t>
      </w:r>
      <w:r>
        <w:rPr>
          <w:bCs/>
          <w:sz w:val="24"/>
          <w:szCs w:val="24"/>
        </w:rPr>
        <w:t>734 000 008,37 руб. без учета НДС</w:t>
      </w:r>
      <w:r>
        <w:rPr>
          <w:sz w:val="24"/>
          <w:szCs w:val="24"/>
        </w:rPr>
        <w:t>.</w:t>
      </w:r>
    </w:p>
    <w:p>
      <w:pPr>
        <w:pStyle w:val="Normal"/>
        <w:numPr>
          <w:ilvl w:val="0"/>
          <w:numId w:val="3"/>
        </w:numPr>
        <w:tabs>
          <w:tab w:val="left" w:pos="709" w:leader="none"/>
        </w:tabs>
        <w:spacing w:lineRule="auto" w:line="240"/>
        <w:ind w:firstLine="426" w:start="0" w:end="0"/>
        <w:rPr>
          <w:sz w:val="24"/>
          <w:szCs w:val="24"/>
        </w:rPr>
      </w:pPr>
      <w:r>
        <w:rPr>
          <w:sz w:val="24"/>
          <w:szCs w:val="24"/>
        </w:rPr>
        <w:t>Рекомендовать Инициатору договора провести преддоговорные переговоры с единственным участником несостоявшейся закупки – АО «Сибтехэнерго» на предмет дополнительного снижения цены Договора, с обязательным предоставлением Протокола преддоговорных переговоров в адрес секретаря Закупочной комиссии в срок не позднее 2-х календарных дней с момента проведения переговоров / подписания протокола.</w:t>
      </w:r>
    </w:p>
    <w:p>
      <w:pPr>
        <w:pStyle w:val="Normal"/>
        <w:numPr>
          <w:ilvl w:val="0"/>
          <w:numId w:val="3"/>
        </w:numPr>
        <w:tabs>
          <w:tab w:val="left" w:pos="709" w:leader="none"/>
        </w:tabs>
        <w:spacing w:lineRule="auto" w:line="240"/>
        <w:ind w:firstLine="426" w:start="0" w:end="0"/>
        <w:rPr>
          <w:sz w:val="24"/>
          <w:szCs w:val="24"/>
        </w:rPr>
      </w:pPr>
      <w:r>
        <w:rPr>
          <w:sz w:val="24"/>
          <w:szCs w:val="24"/>
        </w:rPr>
        <w:t>Инициатору договора обеспечить подписание договора с единственным участником несостоявшейся закупки – АО «Сибтехэнерго» не ранее чем через 10 (десять) календарных дней и не позднее 20 (двадцати) календарных дней после официального размещения итогового протокола по результатам закупки, с учетом результатов преддоговорных переговоров (в случае проведения таковых).</w:t>
      </w:r>
    </w:p>
    <w:p>
      <w:pPr>
        <w:pStyle w:val="Normal"/>
        <w:numPr>
          <w:ilvl w:val="0"/>
          <w:numId w:val="3"/>
        </w:numPr>
        <w:tabs>
          <w:tab w:val="left" w:pos="709" w:leader="none"/>
        </w:tabs>
        <w:spacing w:lineRule="auto" w:line="240"/>
        <w:ind w:firstLine="426" w:start="0" w:end="0"/>
        <w:rPr>
          <w:sz w:val="24"/>
          <w:szCs w:val="24"/>
        </w:rPr>
      </w:pPr>
      <w:r>
        <w:rPr>
          <w:sz w:val="24"/>
          <w:szCs w:val="24"/>
        </w:rPr>
        <w:t>Единственному участнику несостоявшейся закупки – АО «Сибтехэнерго» в срок не позднее 3 (трех) рабочих дней с даты официального размещения на ЭТП итогового протокола по результатам закупки обеспечить направление по адресу, указанному в ДоЗ, информацию о цепочке собственников, включая бенефициаров (в том числе конечных), по форме и с приложением подтверждающих документов согласно ДоЗ, а также обеспечить предоставление иных документов в установленные сроки до заключения договора в соответствии с подразделом 5.1 ДоЗ.</w:t>
      </w:r>
    </w:p>
    <w:p>
      <w:pPr>
        <w:pStyle w:val="Normal"/>
        <w:tabs>
          <w:tab w:val="clear" w:pos="709"/>
          <w:tab w:val="right" w:pos="9639" w:leader="none"/>
        </w:tabs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right" w:pos="9639" w:leader="none"/>
        </w:tabs>
        <w:spacing w:lineRule="auto" w:line="240"/>
        <w:ind w:hanging="0" w:end="0"/>
        <w:rPr/>
      </w:pPr>
      <w:r>
        <w:rPr>
          <w:sz w:val="24"/>
          <w:szCs w:val="24"/>
        </w:rPr>
        <w:t xml:space="preserve">Секретарь закупочной комиссии: </w:t>
        <w:tab/>
        <w:t>П.А. Бакуменко</w:t>
      </w:r>
    </w:p>
    <w:sectPr>
      <w:footerReference w:type="default" r:id="rId3"/>
      <w:type w:val="nextPage"/>
      <w:pgSz w:w="11906" w:h="16838"/>
      <w:pgMar w:left="1276" w:right="991" w:gutter="0" w:header="0" w:top="567" w:footer="447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Impact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right" w:pos="10206" w:leader="none"/>
      </w:tabs>
      <w:spacing w:lineRule="auto" w:line="240"/>
      <w:ind w:hanging="0" w:end="0"/>
      <w:rPr>
        <w:i/>
        <w:i/>
        <w:sz w:val="20"/>
      </w:rPr>
    </w:pPr>
    <w:r>
      <w:rPr>
        <w:i/>
        <w:sz w:val="20"/>
      </w:rPr>
    </w:r>
    <w:r>
      <mc:AlternateContent>
        <mc:Choice Requires="wps">
          <w:drawing>
            <wp:anchor behindDoc="0" distT="0" distB="0" distL="0" distR="0" simplePos="0" locked="0" layoutInCell="0" allowOverlap="1" relativeHeight="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430530" cy="160655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0530" cy="1606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t>2</w:t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3.9pt;height:12.65pt;mso-wrap-distance-left:0pt;mso-wrap-distance-right:0pt;mso-wrap-distance-top:0pt;mso-wrap-distance-bottom:0pt;margin-top:0.05pt;mso-position-vertical-relative:text;margin-left:448.0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sz w:val="22"/>
                        <w:szCs w:val="22"/>
                      </w:rPr>
                    </w:pPr>
                    <w:r>
                      <w:rPr>
                        <w:rStyle w:val="PageNumber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t>2</w:t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pStyle w:val="Heading4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88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5040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0"/>
        </w:tabs>
        <w:ind w:start="0" w:firstLine="288"/>
      </w:pPr>
      <w:rPr/>
    </w:lvl>
    <w:lvl w:ilvl="1">
      <w:start w:val="1"/>
      <w:numFmt w:val="decimal"/>
      <w:lvlText w:val="%1.%2"/>
      <w:lvlJc w:val="start"/>
      <w:pPr>
        <w:tabs>
          <w:tab w:val="num" w:pos="1418"/>
        </w:tabs>
        <w:ind w:start="0" w:firstLine="567"/>
      </w:pPr>
      <w:rPr/>
    </w:lvl>
    <w:lvl w:ilvl="2">
      <w:start w:val="1"/>
      <w:numFmt w:val="decimal"/>
      <w:lvlText w:val="%1.%2.%3"/>
      <w:lvlJc w:val="start"/>
      <w:pPr>
        <w:tabs>
          <w:tab w:val="num" w:pos="1418"/>
        </w:tabs>
        <w:ind w:start="0" w:firstLine="567"/>
      </w:pPr>
      <w:rPr/>
    </w:lvl>
    <w:lvl w:ilvl="3">
      <w:start w:val="1"/>
      <w:numFmt w:val="lowerLetter"/>
      <w:lvlText w:val="%4)"/>
      <w:lvlJc w:val="start"/>
      <w:pPr>
        <w:tabs>
          <w:tab w:val="num" w:pos="1985"/>
        </w:tabs>
        <w:ind w:start="1985" w:hanging="567"/>
      </w:pPr>
      <w:rPr/>
    </w:lvl>
    <w:lvl w:ilvl="4">
      <w:start w:val="1"/>
      <w:numFmt w:val="decimal"/>
      <w:lvlText w:val="%1.%2.%3.%4.%5."/>
      <w:lvlJc w:val="start"/>
      <w:pPr>
        <w:tabs>
          <w:tab w:val="num" w:pos="252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288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60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396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4680"/>
        </w:tabs>
        <w:ind w:start="4320" w:hanging="144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567"/>
      </w:pPr>
      <w:rPr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widowControl w:val="false"/>
      <w:tabs>
        <w:tab w:val="left" w:pos="709" w:leader="none"/>
      </w:tabs>
      <w:spacing w:lineRule="atLeast" w:line="260" w:before="0" w:after="260"/>
      <w:ind w:hanging="709" w:start="709" w:end="0"/>
      <w:outlineLvl w:val="1"/>
    </w:pPr>
    <w:rPr>
      <w:rFonts w:ascii="Arial" w:hAnsi="Arial" w:cs="Arial"/>
      <w:b/>
      <w:sz w:val="22"/>
      <w:lang w:val="en-GB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tabs>
        <w:tab w:val="clear" w:pos="709"/>
        <w:tab w:val="left" w:pos="2552" w:leader="none"/>
      </w:tabs>
      <w:spacing w:lineRule="atLeast" w:line="260" w:before="0" w:after="260"/>
      <w:ind w:hanging="567" w:start="2552" w:end="0"/>
      <w:outlineLvl w:val="4"/>
    </w:pPr>
    <w:rPr>
      <w:rFonts w:ascii="Arial" w:hAnsi="Arial" w:cs="Arial"/>
      <w:b/>
      <w:sz w:val="22"/>
      <w:lang w:val="en-GB"/>
    </w:rPr>
  </w:style>
  <w:style w:type="paragraph" w:styleId="Heading6">
    <w:name w:val="heading 6"/>
    <w:basedOn w:val="Normal"/>
    <w:next w:val="Normal"/>
    <w:qFormat/>
    <w:pPr>
      <w:keepNext w:val="true"/>
      <w:widowControl w:val="false"/>
      <w:tabs>
        <w:tab w:val="clear" w:pos="709"/>
        <w:tab w:val="left" w:pos="3119" w:leader="none"/>
      </w:tabs>
      <w:spacing w:lineRule="atLeast" w:line="260" w:before="0" w:after="260"/>
      <w:ind w:hanging="567" w:start="3119" w:end="0"/>
      <w:outlineLvl w:val="5"/>
    </w:pPr>
    <w:rPr>
      <w:rFonts w:ascii="Arial" w:hAnsi="Arial" w:cs="Arial"/>
      <w:b/>
      <w:sz w:val="22"/>
      <w:lang w:val="en-GB"/>
    </w:rPr>
  </w:style>
  <w:style w:type="character" w:styleId="WW8Num3z0">
    <w:name w:val="WW8Num3z0"/>
    <w:qFormat/>
    <w:rPr>
      <w:b w:val="false"/>
    </w:rPr>
  </w:style>
  <w:style w:type="character" w:styleId="WW8Num4z0">
    <w:name w:val="WW8Num4z0"/>
    <w:qFormat/>
    <w:rPr>
      <w:b w:val="false"/>
    </w:rPr>
  </w:style>
  <w:style w:type="character" w:styleId="WW8Num5z0">
    <w:name w:val="WW8Num5z0"/>
    <w:qFormat/>
    <w:rPr>
      <w:b w:val="false"/>
    </w:rPr>
  </w:style>
  <w:style w:type="character" w:styleId="WW8Num7z0">
    <w:name w:val="WW8Num7z0"/>
    <w:qFormat/>
    <w:rPr>
      <w:b w:val="false"/>
    </w:rPr>
  </w:style>
  <w:style w:type="character" w:styleId="WW8Num9z0">
    <w:name w:val="WW8Num9z0"/>
    <w:qFormat/>
    <w:rPr>
      <w:b w:val="false"/>
    </w:rPr>
  </w:style>
  <w:style w:type="character" w:styleId="WW8Num10z0">
    <w:name w:val="WW8Num10z0"/>
    <w:qFormat/>
    <w:rPr>
      <w:b w:val="false"/>
    </w:rPr>
  </w:style>
  <w:style w:type="character" w:styleId="WW8Num11z0">
    <w:name w:val="WW8Num11z0"/>
    <w:qFormat/>
    <w:rPr>
      <w:b w:val="false"/>
    </w:rPr>
  </w:style>
  <w:style w:type="character" w:styleId="WW8Num12z0">
    <w:name w:val="WW8Num12z0"/>
    <w:qFormat/>
    <w:rPr>
      <w:b w:val="false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b w:val="false"/>
    </w:rPr>
  </w:style>
  <w:style w:type="character" w:styleId="WW8Num16z0">
    <w:name w:val="WW8Num16z0"/>
    <w:qFormat/>
    <w:rPr>
      <w:color w:val="000000"/>
    </w:rPr>
  </w:style>
  <w:style w:type="character" w:styleId="WW8Num16z1">
    <w:name w:val="WW8Num16z1"/>
    <w:qFormat/>
    <w:rPr/>
  </w:style>
  <w:style w:type="character" w:styleId="WW8Num17z0">
    <w:name w:val="WW8Num17z0"/>
    <w:qFormat/>
    <w:rPr>
      <w:b w:val="false"/>
      <w:i w:val="false"/>
      <w:u w:val="none"/>
    </w:rPr>
  </w:style>
  <w:style w:type="character" w:styleId="WW8Num17z2">
    <w:name w:val="WW8Num17z2"/>
    <w:qFormat/>
    <w:rPr>
      <w:b w:val="false"/>
      <w:i w:val="false"/>
      <w:color w:val="000000"/>
      <w:u w:val="none"/>
    </w:rPr>
  </w:style>
  <w:style w:type="character" w:styleId="WW8Num18z0">
    <w:name w:val="WW8Num18z0"/>
    <w:qFormat/>
    <w:rPr>
      <w:b w:val="false"/>
    </w:rPr>
  </w:style>
  <w:style w:type="character" w:styleId="WW8Num19z0">
    <w:name w:val="WW8Num19z0"/>
    <w:qFormat/>
    <w:rPr>
      <w:b w:val="false"/>
    </w:rPr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2z3">
    <w:name w:val="WW8Num22z3"/>
    <w:qFormat/>
    <w:rPr>
      <w:b w:val="false"/>
      <w:i w:val="false"/>
    </w:rPr>
  </w:style>
  <w:style w:type="character" w:styleId="WW8Num23z0">
    <w:name w:val="WW8Num23z0"/>
    <w:qFormat/>
    <w:rPr>
      <w:b w:val="false"/>
      <w:sz w:val="24"/>
      <w:szCs w:val="24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Times New Roman" w:hAnsi="Times New Roman" w:eastAsia="Times New Roman" w:cs="Times New Roman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6z0">
    <w:name w:val="WW8Num26z0"/>
    <w:qFormat/>
    <w:rPr>
      <w:rFonts w:ascii="Times New Roman" w:hAnsi="Times New Roman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b w:val="false"/>
    </w:rPr>
  </w:style>
  <w:style w:type="character" w:styleId="Style8">
    <w:name w:val="Основной шрифт абзаца"/>
    <w:qFormat/>
    <w:rPr/>
  </w:style>
  <w:style w:type="character" w:styleId="Style9">
    <w:name w:val="комментарий"/>
    <w:qFormat/>
    <w:rPr>
      <w:b/>
      <w:i/>
      <w:shd w:fill="FFFF99" w:val="clear"/>
    </w:rPr>
  </w:style>
  <w:style w:type="character" w:styleId="Style10">
    <w:name w:val="Пункт Знак"/>
    <w:qFormat/>
    <w:rPr>
      <w:sz w:val="28"/>
      <w:lang w:val="ru-RU" w:bidi="ar-SA"/>
    </w:rPr>
  </w:style>
  <w:style w:type="character" w:styleId="PageNumber">
    <w:name w:val="page number"/>
    <w:basedOn w:val="Style8"/>
    <w:rPr/>
  </w:style>
  <w:style w:type="character" w:styleId="Strong">
    <w:name w:val="Strong"/>
    <w:qFormat/>
    <w:rPr>
      <w:b/>
      <w:bCs/>
    </w:rPr>
  </w:style>
  <w:style w:type="character" w:styleId="Style11">
    <w:name w:val="Основной текст с отступом Знак"/>
    <w:basedOn w:val="Style8"/>
    <w:qFormat/>
    <w:rPr/>
  </w:style>
  <w:style w:type="character" w:styleId="2">
    <w:name w:val="Основной текст2"/>
    <w:qFormat/>
    <w:rPr>
      <w:b/>
      <w:sz w:val="28"/>
      <w:lang w:val="ru-RU" w:bidi="ar-SA"/>
    </w:rPr>
  </w:style>
  <w:style w:type="character" w:styleId="21">
    <w:name w:val="Заголовок 2 Знак"/>
    <w:qFormat/>
    <w:rPr>
      <w:rFonts w:ascii="Arial" w:hAnsi="Arial" w:cs="Arial"/>
      <w:b/>
      <w:sz w:val="22"/>
      <w:lang w:val="en-GB"/>
    </w:rPr>
  </w:style>
  <w:style w:type="character" w:styleId="5">
    <w:name w:val="Заголовок 5 Знак"/>
    <w:qFormat/>
    <w:rPr>
      <w:rFonts w:ascii="Arial" w:hAnsi="Arial" w:cs="Arial"/>
      <w:b/>
      <w:sz w:val="22"/>
      <w:lang w:val="en-GB"/>
    </w:rPr>
  </w:style>
  <w:style w:type="character" w:styleId="6">
    <w:name w:val="Заголовок 6 Знак"/>
    <w:qFormat/>
    <w:rPr>
      <w:rFonts w:ascii="Arial" w:hAnsi="Arial" w:cs="Arial"/>
      <w:b/>
      <w:sz w:val="22"/>
      <w:lang w:val="en-GB"/>
    </w:rPr>
  </w:style>
  <w:style w:type="character" w:styleId="Hyperlink">
    <w:name w:val="Hyperlink"/>
    <w:rPr>
      <w:color w:val="0000FF"/>
      <w:u w:val="single"/>
    </w:rPr>
  </w:style>
  <w:style w:type="character" w:styleId="Style12">
    <w:name w:val="Основной текст Знак"/>
    <w:qFormat/>
    <w:rPr>
      <w:sz w:val="28"/>
    </w:rPr>
  </w:style>
  <w:style w:type="character" w:styleId="1">
    <w:name w:val="Пункт Знак1"/>
    <w:qFormat/>
    <w:rPr>
      <w:sz w:val="28"/>
    </w:rPr>
  </w:style>
  <w:style w:type="character" w:styleId="22">
    <w:name w:val="Основной текст 2 Знак"/>
    <w:qFormat/>
    <w:rPr>
      <w:sz w:val="28"/>
    </w:rPr>
  </w:style>
  <w:style w:type="character" w:styleId="Emphasis">
    <w:name w:val="Emphasis"/>
    <w:qFormat/>
    <w:rPr>
      <w:i/>
      <w:iCs/>
    </w:rPr>
  </w:style>
  <w:style w:type="character" w:styleId="Style13">
    <w:name w:val="Пункт Знак Знак"/>
    <w:qFormat/>
    <w:rPr>
      <w:sz w:val="28"/>
      <w:lang w:val="ru-RU" w:bidi="ar-SA"/>
    </w:rPr>
  </w:style>
  <w:style w:type="character" w:styleId="Style14">
    <w:name w:val="Название Знак"/>
    <w:qFormat/>
    <w:rPr>
      <w:b/>
      <w:smallCaps/>
      <w:sz w:val="32"/>
    </w:rPr>
  </w:style>
  <w:style w:type="character" w:styleId="3">
    <w:name w:val="Основной текст 3 Знак"/>
    <w:qFormat/>
    <w:rPr>
      <w:sz w:val="26"/>
    </w:rPr>
  </w:style>
  <w:style w:type="character" w:styleId="31">
    <w:name w:val="Основной текст с отступом 3 Знак"/>
    <w:qFormat/>
    <w:rPr>
      <w:sz w:val="16"/>
      <w:szCs w:val="16"/>
    </w:rPr>
  </w:style>
  <w:style w:type="character" w:styleId="Style15">
    <w:name w:val="Знак примечания"/>
    <w:qFormat/>
    <w:rPr>
      <w:sz w:val="16"/>
      <w:szCs w:val="16"/>
    </w:rPr>
  </w:style>
  <w:style w:type="character" w:styleId="Style16">
    <w:name w:val="Текст примечания Знак"/>
    <w:basedOn w:val="Style8"/>
    <w:qFormat/>
    <w:rPr/>
  </w:style>
  <w:style w:type="character" w:styleId="Style17">
    <w:name w:val="Тема примечания Знак"/>
    <w:qFormat/>
    <w:rPr>
      <w:b/>
      <w:bCs/>
    </w:rPr>
  </w:style>
  <w:style w:type="character" w:styleId="Style18">
    <w:name w:val="Схема документа Знак"/>
    <w:qFormat/>
    <w:rPr>
      <w:rFonts w:ascii="Tahoma" w:hAnsi="Tahoma" w:cs="Tahoma"/>
      <w:shd w:fill="000080" w:val="clear"/>
    </w:rPr>
  </w:style>
  <w:style w:type="character" w:styleId="11">
    <w:name w:val="Основной текст Знак Знак Знак1 Знак Знак Знак Знак Знак"/>
    <w:qFormat/>
    <w:rPr>
      <w:b/>
      <w:sz w:val="28"/>
      <w:lang w:val="ru-RU" w:bidi="ar-SA"/>
    </w:rPr>
  </w:style>
  <w:style w:type="character" w:styleId="Style19">
    <w:name w:val="Текст сноски Знак"/>
    <w:basedOn w:val="Style8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h3">
    <w:name w:val="##h3 Знак"/>
    <w:qFormat/>
    <w:rPr>
      <w:bCs/>
      <w:iCs/>
      <w:sz w:val="24"/>
      <w:szCs w:val="24"/>
      <w:lang w:val="en-US"/>
    </w:rPr>
  </w:style>
  <w:style w:type="character" w:styleId="bold1">
    <w:name w:val="bold1"/>
    <w:qFormat/>
    <w:rPr>
      <w:b/>
      <w:bCs/>
    </w:rPr>
  </w:style>
  <w:style w:type="character" w:styleId="12">
    <w:name w:val="Стиль1 Знак"/>
    <w:qFormat/>
    <w:rPr>
      <w:sz w:val="24"/>
      <w:szCs w:val="24"/>
    </w:rPr>
  </w:style>
  <w:style w:type="character" w:styleId="Style20">
    <w:name w:val="Абзац списка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b/>
      <w:smallCaps/>
      <w:sz w:val="32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3">
    <w:name w:val="Стиль Заголовок 1 + по ширине"/>
    <w:basedOn w:val="Heading1"/>
    <w:qFormat/>
    <w:pPr>
      <w:keepLines/>
      <w:numPr>
        <w:ilvl w:val="0"/>
        <w:numId w:val="6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Style21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2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23">
    <w:name w:val="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odyText2">
    <w:name w:val="Body Text 2"/>
    <w:basedOn w:val="Normal"/>
    <w:qFormat/>
    <w:pPr>
      <w:spacing w:lineRule="auto" w:line="240"/>
    </w:pPr>
    <w:rPr>
      <w:sz w:val="24"/>
    </w:rPr>
  </w:style>
  <w:style w:type="paragraph" w:styleId="BodyTextIndent">
    <w:name w:val="Body Text Indent"/>
    <w:basedOn w:val="Normal"/>
    <w:pPr>
      <w:spacing w:lineRule="auto" w:line="240" w:before="0" w:after="120"/>
      <w:ind w:hanging="0" w:start="283" w:end="0"/>
      <w:jc w:val="start"/>
    </w:pPr>
    <w:rPr>
      <w:sz w:val="20"/>
    </w:rPr>
  </w:style>
  <w:style w:type="paragraph" w:styleId="Style24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4"/>
    </w:rPr>
  </w:style>
  <w:style w:type="paragraph" w:styleId="ssRestartNumber">
    <w:name w:val="ssRestartNumber"/>
    <w:basedOn w:val="Normal"/>
    <w:next w:val="ssPara1"/>
    <w:qFormat/>
    <w:pPr>
      <w:spacing w:lineRule="atLeast" w:line="260"/>
      <w:ind w:hanging="0" w:start="0" w:end="0"/>
    </w:pPr>
    <w:rPr>
      <w:rFonts w:ascii="Arial" w:hAnsi="Arial" w:cs="Arial"/>
      <w:color w:val="FF0000"/>
      <w:sz w:val="22"/>
      <w:lang w:val="en-GB"/>
    </w:rPr>
  </w:style>
  <w:style w:type="paragraph" w:styleId="ssPara1">
    <w:name w:val="ssPara1"/>
    <w:basedOn w:val="Normal"/>
    <w:qFormat/>
    <w:pPr>
      <w:spacing w:lineRule="atLeast" w:line="260" w:before="0" w:after="260"/>
      <w:ind w:hanging="0" w:start="0" w:end="0"/>
    </w:pPr>
    <w:rPr>
      <w:rFonts w:ascii="Arial" w:hAnsi="Arial" w:cs="Arial"/>
      <w:sz w:val="22"/>
      <w:lang w:val="en-GB"/>
    </w:rPr>
  </w:style>
  <w:style w:type="paragraph" w:styleId="ssNoHeading2">
    <w:name w:val="ssNoHeading2"/>
    <w:basedOn w:val="Heading2"/>
    <w:qFormat/>
    <w:pPr>
      <w:keepNext w:val="false"/>
      <w:widowControl/>
      <w:numPr>
        <w:ilvl w:val="0"/>
        <w:numId w:val="0"/>
      </w:numPr>
      <w:ind w:hanging="709" w:start="709" w:end="0"/>
    </w:pPr>
    <w:rPr>
      <w:b w:val="false"/>
    </w:rPr>
  </w:style>
  <w:style w:type="paragraph" w:styleId="ssNoHeading3">
    <w:name w:val="ssNoHeading3"/>
    <w:basedOn w:val="Heading3"/>
    <w:qFormat/>
    <w:pPr>
      <w:keepNext w:val="false"/>
      <w:numPr>
        <w:ilvl w:val="0"/>
        <w:numId w:val="0"/>
      </w:numPr>
      <w:tabs>
        <w:tab w:val="clear" w:pos="709"/>
        <w:tab w:val="left" w:pos="1418" w:leader="none"/>
      </w:tabs>
      <w:suppressAutoHyphens w:val="false"/>
      <w:spacing w:lineRule="atLeast" w:line="260" w:before="0" w:after="260"/>
      <w:ind w:hanging="709" w:start="1418" w:end="0"/>
      <w:jc w:val="both"/>
      <w:outlineLvl w:val="9"/>
    </w:pPr>
    <w:rPr>
      <w:rFonts w:ascii="Arial" w:hAnsi="Arial" w:cs="Arial"/>
      <w:b w:val="false"/>
      <w:sz w:val="22"/>
      <w:lang w:val="en-GB"/>
    </w:rPr>
  </w:style>
  <w:style w:type="paragraph" w:styleId="Char">
    <w:name w:val=" Char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5">
    <w:name w:val=" 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6">
    <w:name w:val="Абзац списка"/>
    <w:basedOn w:val="Normal"/>
    <w:qFormat/>
    <w:pPr>
      <w:spacing w:lineRule="auto" w:line="240" w:before="0" w:after="0"/>
      <w:ind w:hanging="0" w:start="720" w:end="0"/>
      <w:contextualSpacing/>
      <w:jc w:val="start"/>
    </w:pPr>
    <w:rPr>
      <w:sz w:val="24"/>
      <w:szCs w:val="24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Style27">
    <w:name w:val="Пункт"/>
    <w:basedOn w:val="BodyText"/>
    <w:qFormat/>
    <w:pPr>
      <w:spacing w:before="0" w:after="0"/>
      <w:ind w:hanging="0" w:start="0" w:end="0"/>
    </w:pPr>
    <w:rPr/>
  </w:style>
  <w:style w:type="paragraph" w:styleId="23">
    <w:name w:val="Основной текст 2"/>
    <w:basedOn w:val="Normal"/>
    <w:qFormat/>
    <w:pPr>
      <w:spacing w:lineRule="auto" w:line="480" w:before="0" w:after="120"/>
    </w:pPr>
    <w:rPr/>
  </w:style>
  <w:style w:type="paragraph" w:styleId="Style28">
    <w:name w:val="Нумерованный список"/>
    <w:basedOn w:val="Normal"/>
    <w:qFormat/>
    <w:pPr>
      <w:numPr>
        <w:ilvl w:val="0"/>
        <w:numId w:val="5"/>
      </w:numPr>
      <w:autoSpaceDE w:val="false"/>
      <w:spacing w:before="60" w:after="0"/>
    </w:pPr>
    <w:rPr>
      <w:szCs w:val="24"/>
    </w:rPr>
  </w:style>
  <w:style w:type="paragraph" w:styleId="-1">
    <w:name w:val="Договор пункт-1"/>
    <w:basedOn w:val="Normal"/>
    <w:qFormat/>
    <w:pPr>
      <w:numPr>
        <w:ilvl w:val="0"/>
        <w:numId w:val="4"/>
      </w:numPr>
      <w:tabs>
        <w:tab w:val="clear" w:pos="709"/>
        <w:tab w:val="left" w:pos="1440" w:leader="none"/>
      </w:tabs>
      <w:ind w:hanging="360" w:start="1440" w:end="0"/>
      <w:jc w:val="start"/>
    </w:pPr>
    <w:rPr>
      <w:sz w:val="20"/>
    </w:rPr>
  </w:style>
  <w:style w:type="paragraph" w:styleId="-2">
    <w:name w:val="Договор пункт-2"/>
    <w:basedOn w:val="Normal"/>
    <w:qFormat/>
    <w:pPr>
      <w:numPr>
        <w:ilvl w:val="0"/>
        <w:numId w:val="4"/>
      </w:numPr>
      <w:tabs>
        <w:tab w:val="clear" w:pos="709"/>
        <w:tab w:val="left" w:pos="2160" w:leader="none"/>
      </w:tabs>
      <w:ind w:hanging="180" w:start="2160" w:end="0"/>
      <w:jc w:val="start"/>
    </w:pPr>
    <w:rPr>
      <w:sz w:val="20"/>
    </w:rPr>
  </w:style>
  <w:style w:type="paragraph" w:styleId="Style29">
    <w:name w:val="Подпункт"/>
    <w:basedOn w:val="Style27"/>
    <w:qFormat/>
    <w:pPr>
      <w:tabs>
        <w:tab w:val="clear" w:pos="709"/>
        <w:tab w:val="left" w:pos="1974" w:leader="none"/>
      </w:tabs>
      <w:ind w:hanging="1134" w:start="1974" w:end="0"/>
    </w:pPr>
    <w:rPr/>
  </w:style>
  <w:style w:type="paragraph" w:styleId="Style30">
    <w:name w:val="Подподпункт"/>
    <w:basedOn w:val="Style29"/>
    <w:qFormat/>
    <w:pPr>
      <w:tabs>
        <w:tab w:val="clear" w:pos="1974"/>
        <w:tab w:val="left" w:pos="3567" w:leader="none"/>
      </w:tabs>
      <w:ind w:hanging="567" w:start="3567" w:end="0"/>
    </w:pPr>
    <w:rPr/>
  </w:style>
  <w:style w:type="paragraph" w:styleId="-3">
    <w:name w:val="Договор пункт-3"/>
    <w:basedOn w:val="Normal"/>
    <w:qFormat/>
    <w:pPr>
      <w:numPr>
        <w:ilvl w:val="0"/>
        <w:numId w:val="4"/>
      </w:numPr>
      <w:tabs>
        <w:tab w:val="clear" w:pos="709"/>
        <w:tab w:val="left" w:pos="2880" w:leader="none"/>
      </w:tabs>
      <w:ind w:hanging="360" w:start="2880" w:end="0"/>
      <w:jc w:val="start"/>
    </w:pPr>
    <w:rPr>
      <w:sz w:val="20"/>
    </w:rPr>
  </w:style>
  <w:style w:type="paragraph" w:styleId="Style31">
    <w:name w:val="Договор раздел"/>
    <w:basedOn w:val="Normal"/>
    <w:qFormat/>
    <w:pPr>
      <w:keepNext w:val="true"/>
      <w:numPr>
        <w:ilvl w:val="0"/>
        <w:numId w:val="4"/>
      </w:numPr>
      <w:shd w:fill="FFFFFF" w:val="clear"/>
      <w:tabs>
        <w:tab w:val="clear" w:pos="709"/>
        <w:tab w:val="left" w:pos="360" w:leader="none"/>
      </w:tabs>
      <w:spacing w:lineRule="auto" w:line="240" w:before="360" w:after="120"/>
      <w:ind w:hanging="360" w:start="360" w:end="0"/>
      <w:jc w:val="center"/>
      <w:outlineLvl w:val="0"/>
    </w:pPr>
    <w:rPr>
      <w:b/>
      <w:bCs/>
      <w:caps/>
      <w:sz w:val="20"/>
      <w:szCs w:val="28"/>
    </w:rPr>
  </w:style>
  <w:style w:type="paragraph" w:styleId="Style32">
    <w:name w:val="Пункт б/н"/>
    <w:basedOn w:val="Normal"/>
    <w:qFormat/>
    <w:pPr>
      <w:tabs>
        <w:tab w:val="clear" w:pos="709"/>
        <w:tab w:val="left" w:pos="1134" w:leader="none"/>
      </w:tabs>
    </w:pPr>
    <w:rPr/>
  </w:style>
  <w:style w:type="paragraph" w:styleId="211">
    <w:name w:val="Основной текст 21"/>
    <w:basedOn w:val="Normal"/>
    <w:qFormat/>
    <w:pPr>
      <w:spacing w:lineRule="auto" w:line="240"/>
    </w:pPr>
    <w:rPr>
      <w:sz w:val="24"/>
    </w:rPr>
  </w:style>
  <w:style w:type="paragraph" w:styleId="32">
    <w:name w:val="Основной текст 3"/>
    <w:basedOn w:val="Normal"/>
    <w:qFormat/>
    <w:pPr>
      <w:spacing w:lineRule="auto" w:line="240"/>
      <w:ind w:hanging="0" w:start="0" w:end="0"/>
    </w:pPr>
    <w:rPr>
      <w:sz w:val="26"/>
    </w:rPr>
  </w:style>
  <w:style w:type="paragraph" w:styleId="33">
    <w:name w:val="Основной текст с отступом 3"/>
    <w:basedOn w:val="Normal"/>
    <w:qFormat/>
    <w:pPr>
      <w:spacing w:lineRule="auto" w:line="240" w:before="0" w:after="120"/>
      <w:ind w:hanging="0" w:start="283" w:end="0"/>
      <w:jc w:val="start"/>
    </w:pPr>
    <w:rPr>
      <w:sz w:val="16"/>
      <w:szCs w:val="16"/>
    </w:rPr>
  </w:style>
  <w:style w:type="paragraph" w:styleId="Style33">
    <w:name w:val="Текст примечания"/>
    <w:basedOn w:val="Normal"/>
    <w:qFormat/>
    <w:pPr>
      <w:spacing w:lineRule="auto" w:line="240"/>
      <w:ind w:hanging="0" w:start="0" w:end="0"/>
      <w:jc w:val="start"/>
    </w:pPr>
    <w:rPr>
      <w:sz w:val="20"/>
    </w:rPr>
  </w:style>
  <w:style w:type="paragraph" w:styleId="Style34">
    <w:name w:val="Тема примечания"/>
    <w:basedOn w:val="Style33"/>
    <w:next w:val="Style33"/>
    <w:qFormat/>
    <w:pPr/>
    <w:rPr>
      <w:b/>
      <w:bCs/>
    </w:rPr>
  </w:style>
  <w:style w:type="paragraph" w:styleId="Style35">
    <w:name w:val="Схема документа"/>
    <w:basedOn w:val="Normal"/>
    <w:qFormat/>
    <w:pPr>
      <w:shd w:fill="000080" w:val="clear"/>
      <w:spacing w:lineRule="auto" w:line="240"/>
      <w:ind w:hanging="0" w:start="0" w:end="0"/>
      <w:jc w:val="start"/>
    </w:pPr>
    <w:rPr>
      <w:rFonts w:ascii="Tahoma" w:hAnsi="Tahoma" w:cs="Tahoma"/>
      <w:sz w:val="20"/>
    </w:rPr>
  </w:style>
  <w:style w:type="paragraph" w:styleId="Style36">
    <w:name w:val="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14">
    <w:name w:val="Знак1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7">
    <w:name w:val="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8">
    <w:name w:val="Знак Знак Знак 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24">
    <w:name w:val="Знак Знак Знак2 Знак Знак Знак Знак Знак Знак 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111">
    <w:name w:val="Знак Знак Знак Знак Знак Знак Знак Знак Знак Знак Знак Знак Знак Знак1 Знак1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FootnoteText">
    <w:name w:val="footnote text"/>
    <w:basedOn w:val="Normal"/>
    <w:pPr>
      <w:spacing w:lineRule="auto" w:line="240"/>
      <w:ind w:hanging="0" w:start="0" w:end="0"/>
      <w:jc w:val="start"/>
    </w:pPr>
    <w:rPr>
      <w:sz w:val="20"/>
    </w:rPr>
  </w:style>
  <w:style w:type="paragraph" w:styleId="h1">
    <w:name w:val="##h1"/>
    <w:basedOn w:val="Heading2"/>
    <w:qFormat/>
    <w:pPr>
      <w:widowControl/>
      <w:numPr>
        <w:ilvl w:val="0"/>
        <w:numId w:val="2"/>
      </w:numPr>
      <w:tabs>
        <w:tab w:val="left" w:pos="360" w:leader="none"/>
        <w:tab w:val="left" w:pos="709" w:leader="none"/>
      </w:tabs>
      <w:spacing w:lineRule="auto" w:line="240" w:before="360" w:after="120"/>
      <w:ind w:hanging="0" w:start="0" w:end="266"/>
      <w:jc w:val="start"/>
    </w:pPr>
    <w:rPr>
      <w:rFonts w:ascii="Times New Roman" w:hAnsi="Times New Roman" w:eastAsia="SimSun;宋体" w:cs="Times New Roman"/>
      <w:bCs/>
      <w:caps/>
      <w:sz w:val="28"/>
      <w:lang w:val="en-US" w:eastAsia="zh-CN"/>
    </w:rPr>
  </w:style>
  <w:style w:type="paragraph" w:styleId="h31">
    <w:name w:val="##h3"/>
    <w:basedOn w:val="Heading2"/>
    <w:qFormat/>
    <w:pPr>
      <w:keepNext w:val="false"/>
      <w:widowControl/>
      <w:numPr>
        <w:ilvl w:val="0"/>
        <w:numId w:val="2"/>
      </w:numPr>
      <w:spacing w:lineRule="auto" w:line="276" w:before="0" w:after="0"/>
    </w:pPr>
    <w:rPr>
      <w:rFonts w:ascii="Times New Roman" w:hAnsi="Times New Roman" w:cs="Times New Roman"/>
      <w:b w:val="false"/>
      <w:bCs/>
      <w:iCs/>
      <w:sz w:val="24"/>
      <w:szCs w:val="24"/>
      <w:lang w:val="en-US"/>
    </w:rPr>
  </w:style>
  <w:style w:type="paragraph" w:styleId="h4">
    <w:name w:val="##h4"/>
    <w:basedOn w:val="Heading2"/>
    <w:qFormat/>
    <w:pPr>
      <w:keepNext w:val="false"/>
      <w:widowControl/>
      <w:numPr>
        <w:ilvl w:val="0"/>
        <w:numId w:val="2"/>
      </w:numPr>
      <w:tabs>
        <w:tab w:val="left" w:pos="360" w:leader="none"/>
        <w:tab w:val="left" w:pos="709" w:leader="none"/>
      </w:tabs>
      <w:spacing w:lineRule="auto" w:line="276" w:before="0" w:after="0"/>
      <w:ind w:hanging="1134" w:start="1134" w:end="0"/>
    </w:pPr>
    <w:rPr>
      <w:rFonts w:ascii="Times New Roman" w:hAnsi="Times New Roman" w:cs="Times New Roman"/>
      <w:b w:val="false"/>
      <w:bCs/>
      <w:iCs/>
      <w:sz w:val="24"/>
      <w:szCs w:val="24"/>
      <w:lang w:val="en-US"/>
    </w:rPr>
  </w:style>
  <w:style w:type="paragraph" w:styleId="h2">
    <w:name w:val="##h2*"/>
    <w:basedOn w:val="Heading2"/>
    <w:qFormat/>
    <w:pPr>
      <w:keepNext w:val="false"/>
      <w:widowControl/>
      <w:numPr>
        <w:ilvl w:val="0"/>
        <w:numId w:val="2"/>
      </w:numPr>
      <w:tabs>
        <w:tab w:val="left" w:pos="360" w:leader="none"/>
        <w:tab w:val="left" w:pos="709" w:leader="none"/>
      </w:tabs>
      <w:spacing w:lineRule="auto" w:line="276" w:before="0" w:after="0"/>
      <w:ind w:hanging="567" w:start="567" w:end="266"/>
    </w:pPr>
    <w:rPr>
      <w:rFonts w:ascii="Times New Roman" w:hAnsi="Times New Roman" w:cs="Times New Roman"/>
      <w:b w:val="false"/>
      <w:bCs/>
      <w:iCs/>
      <w:sz w:val="24"/>
      <w:szCs w:val="24"/>
      <w:lang w:val="en-US"/>
    </w:rPr>
  </w:style>
  <w:style w:type="paragraph" w:styleId="Char1">
    <w:name w:val="Char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25">
    <w:name w:val="Основной текст 25"/>
    <w:basedOn w:val="Normal"/>
    <w:qFormat/>
    <w:pPr>
      <w:spacing w:lineRule="auto" w:line="240"/>
    </w:pPr>
    <w:rPr>
      <w:sz w:val="24"/>
    </w:rPr>
  </w:style>
  <w:style w:type="paragraph" w:styleId="15">
    <w:name w:val="Стиль1"/>
    <w:basedOn w:val="Style28"/>
    <w:qFormat/>
    <w:pPr>
      <w:numPr>
        <w:ilvl w:val="0"/>
        <w:numId w:val="0"/>
      </w:numPr>
      <w:tabs>
        <w:tab w:val="clear" w:pos="709"/>
        <w:tab w:val="left" w:pos="567" w:leader="none"/>
      </w:tabs>
      <w:spacing w:lineRule="auto" w:line="240" w:before="0" w:after="0"/>
      <w:ind w:hanging="0" w:start="0" w:end="0"/>
      <w:jc w:val="start"/>
    </w:pPr>
    <w:rPr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2011-10-12T12:46:00Z</dcterms:created>
  <dc:creator>Инкижеков Андрей Владимирович</dc:creator>
  <dc:description/>
  <cp:keywords/>
  <dc:language>en-US</dc:language>
  <cp:lastModifiedBy>Бакуменко Павел Анатольевич</cp:lastModifiedBy>
  <cp:lastPrinted>2020-10-28T13:04:00Z</cp:lastPrinted>
  <dcterms:modified xsi:type="dcterms:W3CDTF">2025-03-03T05:28:00Z</dcterms:modified>
  <cp:revision>411</cp:revision>
  <dc:subject/>
  <dc:title>Открытое акционерное общество «Управляющая компания ГидроОГК»</dc:title>
</cp:coreProperties>
</file>