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280"/>
        <w:ind w:hanging="0" w:start="0"/>
        <w:rPr>
          <w:sz w:val="21"/>
          <w:szCs w:val="21"/>
        </w:rPr>
      </w:pPr>
      <w:r>
        <w:rPr>
          <w:sz w:val="21"/>
          <w:szCs w:val="21"/>
        </w:rPr>
        <w:t>Протокол рассмотрения заявок на участие в аукционе 32514510759-01 (вх.№ 479163)</w:t>
      </w:r>
    </w:p>
    <w:tbl>
      <w:tblPr>
        <w:tblW w:w="5000" w:type="pct"/>
        <w:jc w:val="start"/>
        <w:tblInd w:w="-3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970"/>
        <w:gridCol w:w="8385"/>
      </w:tblGrid>
      <w:tr>
        <w:trPr/>
        <w:tc>
          <w:tcPr>
            <w:tcW w:w="970" w:type="dxa"/>
            <w:tcBorders/>
            <w:vAlign w:val="center"/>
          </w:tcPr>
          <w:p>
            <w:pPr>
              <w:pStyle w:val="Normal"/>
              <w:snapToGrid w:val="fals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</w:p>
        </w:tc>
        <w:tc>
          <w:tcPr>
            <w:tcW w:w="8385" w:type="dxa"/>
            <w:tcBorders/>
            <w:vAlign w:val="center"/>
          </w:tcPr>
          <w:p>
            <w:pPr>
              <w:pStyle w:val="Normal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Дата подписания протокола: 03.03.2025</w:t>
            </w:r>
          </w:p>
        </w:tc>
      </w:tr>
    </w:tbl>
    <w:p>
      <w:pPr>
        <w:pStyle w:val="Normal"/>
        <w:spacing w:before="0" w:after="240"/>
        <w:rPr/>
      </w:pPr>
      <w:r>
        <w:rPr/>
        <w:t xml:space="preserve">Извещение № 32514510759 </w:t>
        <w:br/>
        <w:t xml:space="preserve">Открытый аукцион в электронной форме </w:t>
        <w:br/>
        <w:br/>
        <w:t xml:space="preserve">1. Место проведения процедуры: Заявки рассматриваются Единой комиссией по адресу 420012, Россия, Республика Татарстан, г. Казань, ул. Бутлерова, д. 49 </w:t>
        <w:br/>
        <w:t xml:space="preserve">2. Дата и время проведения: 03.03.2025 08:00 (+03:00)\Местное: 03.03.2025 08:00 (+03:00) </w:t>
        <w:br/>
        <w:t xml:space="preserve">3. Дата начала подачи заявок: 13.02.2025 13:32 (+03:00)\Местное: 13.02.2025 13:32 (+03:00) </w:t>
        <w:br/>
        <w:t xml:space="preserve">4. Окончание срока подачи заявок: 03.03.2025 06:00 (+03:00)\Местное: 03.03.2025 06:00 (+03:00) </w:t>
        <w:br/>
        <w:t xml:space="preserve">5. Сведения о сроке исполнения договора: с даты заключения договора и до 28.02.2026 года </w:t>
        <w:br/>
        <w:t>6. Сведения о заказчике(ах), заключающих договор:</w:t>
        <w:br/>
        <w:t xml:space="preserve">ФЕДЕРАЛЬНОЕ ГОСУДАРСТВЕННОЕ БЮДЖЕТНОЕ ОБРАЗОВАТЕЛЬНОЕ УЧРЕЖДЕНИЕ ВЫСШЕГО ОБРАЗОВАНИЯ "КАЗАНСКИЙ ГОСУДАРСТВЕННЫЙ МЕДИЦИНСКИЙ УНИВЕРСИТЕТ" МИНИСТЕРСТВА ЗДРАВООХРАНЕНИЯ РОССИЙСКОЙ ФЕДЕРАЦИИ (420012, г Казань, ул Бутлерова, дом 49) </w:t>
        <w:br/>
        <w:t xml:space="preserve">7. Предмет закупки: Право заключения договора на мойку автотранспорта для нужд ФГБОУ ВО Казанский ГМУ Минздрава России </w:t>
        <w:br/>
        <w:t xml:space="preserve">8. Количество товаров, работ, услуг: 1 </w:t>
        <w:br/>
        <w:t>9. Начальная (максимальная) цена договора: 500 000,00 руб.</w:t>
        <w:br/>
        <w:t>9.1. Общая начальная (максимальная) цена запасных частей к технике, к оборудованию, услуг и (или) работ: 106 549,99 руб.</w:t>
        <w:br/>
        <w:t>10. Количество поданных заявок на участие: 2</w:t>
        <w:br/>
        <w:t>11. Количество отклонённых заявок на участие: 0</w:t>
        <w:br/>
        <w:t>12. Закупка признана несостоявшейся: Нет</w:t>
        <w:br/>
        <w:t>13. Сведения об участниках закупки, подавших заявки:</w:t>
      </w:r>
    </w:p>
    <w:tbl>
      <w:tblPr>
        <w:tblW w:w="5000" w:type="pct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468"/>
        <w:gridCol w:w="2962"/>
        <w:gridCol w:w="2963"/>
        <w:gridCol w:w="2962"/>
      </w:tblGrid>
      <w:tr>
        <w:trPr>
          <w:trHeight w:val="300" w:hRule="atLeast"/>
        </w:trPr>
        <w:tc>
          <w:tcPr>
            <w:tcW w:w="46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п/п</w:t>
            </w:r>
          </w:p>
        </w:tc>
        <w:tc>
          <w:tcPr>
            <w:tcW w:w="2962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Участник</w:t>
            </w:r>
          </w:p>
        </w:tc>
        <w:tc>
          <w:tcPr>
            <w:tcW w:w="2963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Дата и время регистрации заявки</w:t>
            </w:r>
          </w:p>
        </w:tc>
        <w:tc>
          <w:tcPr>
            <w:tcW w:w="2962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Решение</w:t>
            </w:r>
          </w:p>
        </w:tc>
      </w:tr>
      <w:tr>
        <w:trPr/>
        <w:tc>
          <w:tcPr>
            <w:tcW w:w="46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62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Заявка 596399 </w:t>
            </w:r>
          </w:p>
        </w:tc>
        <w:tc>
          <w:tcPr>
            <w:tcW w:w="2963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27.02.2025 16:07:46 (+03:00)</w:t>
            </w:r>
          </w:p>
        </w:tc>
        <w:tc>
          <w:tcPr>
            <w:tcW w:w="2962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>
        <w:trPr/>
        <w:tc>
          <w:tcPr>
            <w:tcW w:w="46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962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Заявка 596953 </w:t>
            </w:r>
          </w:p>
        </w:tc>
        <w:tc>
          <w:tcPr>
            <w:tcW w:w="2963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28.02.2025 18:45:09 (+03:00)</w:t>
            </w:r>
          </w:p>
        </w:tc>
        <w:tc>
          <w:tcPr>
            <w:tcW w:w="2962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</w:tbl>
    <w:p>
      <w:pPr>
        <w:pStyle w:val="Style14"/>
        <w:rPr>
          <w:sz w:val="20"/>
          <w:szCs w:val="20"/>
        </w:rPr>
      </w:pPr>
      <w:r>
        <w:rPr>
          <w:sz w:val="20"/>
          <w:szCs w:val="20"/>
        </w:rPr>
        <w:t>14. Сведения о решении каждого члена комиссии о соответствии/ не соответствии заявок, поданных на участие в закупке требованиям, предъявляемым к участникам закупки:</w:t>
      </w:r>
    </w:p>
    <w:tbl>
      <w:tblPr>
        <w:tblW w:w="5000" w:type="pct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2152"/>
        <w:gridCol w:w="4115"/>
        <w:gridCol w:w="3088"/>
      </w:tblGrid>
      <w:tr>
        <w:trPr>
          <w:trHeight w:val="300" w:hRule="atLeast"/>
        </w:trPr>
        <w:tc>
          <w:tcPr>
            <w:tcW w:w="2152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Порядковый номер заявки</w:t>
            </w:r>
          </w:p>
        </w:tc>
        <w:tc>
          <w:tcPr>
            <w:tcW w:w="411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Член комиссии</w:t>
            </w:r>
          </w:p>
        </w:tc>
        <w:tc>
          <w:tcPr>
            <w:tcW w:w="308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Решение члена комиссии</w:t>
            </w:r>
          </w:p>
        </w:tc>
      </w:tr>
      <w:tr>
        <w:trPr/>
        <w:tc>
          <w:tcPr>
            <w:tcW w:w="2152" w:type="dxa"/>
            <w:vMerge w:val="restart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11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Мухарямова Лайсан Музиповна</w:t>
            </w:r>
          </w:p>
        </w:tc>
        <w:tc>
          <w:tcPr>
            <w:tcW w:w="308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>
        <w:trPr/>
        <w:tc>
          <w:tcPr>
            <w:tcW w:w="2152" w:type="dxa"/>
            <w:vMerge w:val="continue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napToGrid w:val="false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411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Сметанникова Светлана Леонидовна</w:t>
            </w:r>
          </w:p>
        </w:tc>
        <w:tc>
          <w:tcPr>
            <w:tcW w:w="308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>
        <w:trPr/>
        <w:tc>
          <w:tcPr>
            <w:tcW w:w="2152" w:type="dxa"/>
            <w:vMerge w:val="continue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napToGrid w:val="false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411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Матренина Светлана Владимировна</w:t>
            </w:r>
          </w:p>
        </w:tc>
        <w:tc>
          <w:tcPr>
            <w:tcW w:w="308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>
        <w:trPr/>
        <w:tc>
          <w:tcPr>
            <w:tcW w:w="2152" w:type="dxa"/>
            <w:vMerge w:val="continue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napToGrid w:val="false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411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Кузнецова Ольга Владимировна</w:t>
            </w:r>
          </w:p>
        </w:tc>
        <w:tc>
          <w:tcPr>
            <w:tcW w:w="308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>
        <w:trPr/>
        <w:tc>
          <w:tcPr>
            <w:tcW w:w="2152" w:type="dxa"/>
            <w:vMerge w:val="restart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411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Мухарямова Лайсан Музиповна</w:t>
            </w:r>
          </w:p>
        </w:tc>
        <w:tc>
          <w:tcPr>
            <w:tcW w:w="308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>
        <w:trPr/>
        <w:tc>
          <w:tcPr>
            <w:tcW w:w="2152" w:type="dxa"/>
            <w:vMerge w:val="continue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napToGrid w:val="false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411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Сметанникова Светлана Леонидовна</w:t>
            </w:r>
          </w:p>
        </w:tc>
        <w:tc>
          <w:tcPr>
            <w:tcW w:w="308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>
        <w:trPr/>
        <w:tc>
          <w:tcPr>
            <w:tcW w:w="2152" w:type="dxa"/>
            <w:vMerge w:val="continue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napToGrid w:val="false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411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Матренина Светлана Владимировна</w:t>
            </w:r>
          </w:p>
        </w:tc>
        <w:tc>
          <w:tcPr>
            <w:tcW w:w="308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>
        <w:trPr/>
        <w:tc>
          <w:tcPr>
            <w:tcW w:w="2152" w:type="dxa"/>
            <w:vMerge w:val="continue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napToGrid w:val="false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411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Кузнецова Ольга Владимировна</w:t>
            </w:r>
          </w:p>
        </w:tc>
        <w:tc>
          <w:tcPr>
            <w:tcW w:w="308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</w:tbl>
    <w:p>
      <w:pPr>
        <w:pStyle w:val="Normal"/>
        <w:spacing w:before="0" w:after="240"/>
        <w:rPr/>
      </w:pPr>
      <w:r>
        <w:rPr/>
        <w:br/>
        <w:t>15. Члены Закупочной комиссии, присутствующие на заседании:</w:t>
      </w:r>
    </w:p>
    <w:tbl>
      <w:tblPr>
        <w:tblW w:w="5000" w:type="pct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5345"/>
        <w:gridCol w:w="4010"/>
      </w:tblGrid>
      <w:tr>
        <w:trPr>
          <w:trHeight w:val="300" w:hRule="atLeast"/>
        </w:trPr>
        <w:tc>
          <w:tcPr>
            <w:tcW w:w="534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Член комиссии</w:t>
            </w:r>
          </w:p>
        </w:tc>
        <w:tc>
          <w:tcPr>
            <w:tcW w:w="4010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Роль</w:t>
            </w:r>
          </w:p>
        </w:tc>
      </w:tr>
      <w:tr>
        <w:trPr/>
        <w:tc>
          <w:tcPr>
            <w:tcW w:w="534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Мухарямова Лайсан Музиповна</w:t>
            </w:r>
          </w:p>
        </w:tc>
        <w:tc>
          <w:tcPr>
            <w:tcW w:w="4010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Председатель</w:t>
            </w:r>
          </w:p>
        </w:tc>
      </w:tr>
      <w:tr>
        <w:trPr/>
        <w:tc>
          <w:tcPr>
            <w:tcW w:w="534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Сметанникова Светлана Леонидовна</w:t>
            </w:r>
          </w:p>
        </w:tc>
        <w:tc>
          <w:tcPr>
            <w:tcW w:w="4010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Зам. Председателя комиссии</w:t>
            </w:r>
          </w:p>
        </w:tc>
      </w:tr>
      <w:tr>
        <w:trPr/>
        <w:tc>
          <w:tcPr>
            <w:tcW w:w="534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Матренина Светлана Владимировна</w:t>
            </w:r>
          </w:p>
        </w:tc>
        <w:tc>
          <w:tcPr>
            <w:tcW w:w="4010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Член комиссии</w:t>
            </w:r>
          </w:p>
        </w:tc>
      </w:tr>
      <w:tr>
        <w:trPr/>
        <w:tc>
          <w:tcPr>
            <w:tcW w:w="534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Кузнецова Ольга Владимировна</w:t>
            </w:r>
          </w:p>
        </w:tc>
        <w:tc>
          <w:tcPr>
            <w:tcW w:w="4010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Член комиссии</w:t>
            </w:r>
          </w:p>
        </w:tc>
      </w:tr>
    </w:tbl>
    <w:p>
      <w:pPr>
        <w:pStyle w:val="Normal"/>
        <w:rPr/>
      </w:pPr>
      <w:r>
        <w:rPr/>
        <w:br/>
        <w:t xml:space="preserve">Всего на заседании присутствовало 4 члена(ов) комиссии. Кворум имеется. Заседание правомочно. </w:t>
        <w:br/>
        <w:br/>
        <w:t>16. Подписи членов комиссии:</w:t>
      </w:r>
    </w:p>
    <w:tbl>
      <w:tblPr>
        <w:tblW w:w="5000" w:type="pct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3087"/>
        <w:gridCol w:w="2152"/>
        <w:gridCol w:w="4116"/>
      </w:tblGrid>
      <w:tr>
        <w:trPr>
          <w:trHeight w:val="300" w:hRule="atLeast"/>
        </w:trPr>
        <w:tc>
          <w:tcPr>
            <w:tcW w:w="3087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Роль</w:t>
            </w:r>
          </w:p>
        </w:tc>
        <w:tc>
          <w:tcPr>
            <w:tcW w:w="2152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Подпись</w:t>
            </w:r>
          </w:p>
        </w:tc>
        <w:tc>
          <w:tcPr>
            <w:tcW w:w="4116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ФИО</w:t>
            </w:r>
          </w:p>
        </w:tc>
      </w:tr>
      <w:tr>
        <w:trPr/>
        <w:tc>
          <w:tcPr>
            <w:tcW w:w="3087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Председатель</w:t>
            </w:r>
          </w:p>
        </w:tc>
        <w:tc>
          <w:tcPr>
            <w:tcW w:w="2152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16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Мухарямова Лайсан Музиповна</w:t>
            </w:r>
          </w:p>
        </w:tc>
      </w:tr>
      <w:tr>
        <w:trPr/>
        <w:tc>
          <w:tcPr>
            <w:tcW w:w="3087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Зам. Председателя комиссии</w:t>
            </w:r>
          </w:p>
        </w:tc>
        <w:tc>
          <w:tcPr>
            <w:tcW w:w="2152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16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Сметанникова Светлана Леонидовна</w:t>
            </w:r>
          </w:p>
        </w:tc>
      </w:tr>
      <w:tr>
        <w:trPr/>
        <w:tc>
          <w:tcPr>
            <w:tcW w:w="3087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Член комиссии</w:t>
            </w:r>
          </w:p>
        </w:tc>
        <w:tc>
          <w:tcPr>
            <w:tcW w:w="2152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16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Матренина Светлана Владимировна</w:t>
            </w:r>
          </w:p>
        </w:tc>
      </w:tr>
      <w:tr>
        <w:trPr/>
        <w:tc>
          <w:tcPr>
            <w:tcW w:w="3087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Член комиссии</w:t>
            </w:r>
          </w:p>
        </w:tc>
        <w:tc>
          <w:tcPr>
            <w:tcW w:w="2152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16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Кузнецова Ольга Владимировна</w:t>
            </w:r>
          </w:p>
        </w:tc>
      </w:tr>
    </w:tbl>
    <w:p>
      <w:pPr>
        <w:pStyle w:val="Normal"/>
        <w:spacing w:before="0" w:after="24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190500" cy="14287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89" t="-252" r="-189" b="-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alibri Light">
    <w:charset w:val="cc" w:characterSet="windows-1251"/>
    <w:family w:val="swiss"/>
    <w:pitch w:val="variable"/>
  </w:font>
  <w:font w:name="Segoe U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BodyText"/>
    <w:qFormat/>
    <w:pPr>
      <w:numPr>
        <w:ilvl w:val="0"/>
        <w:numId w:val="1"/>
      </w:numPr>
      <w:spacing w:before="280" w:after="280"/>
      <w:outlineLvl w:val="0"/>
    </w:pPr>
    <w:rPr>
      <w:b/>
      <w:bCs/>
      <w:kern w:val="2"/>
      <w:sz w:val="48"/>
      <w:szCs w:val="48"/>
    </w:rPr>
  </w:style>
  <w:style w:type="paragraph" w:styleId="Heading2">
    <w:name w:val="heading 2"/>
    <w:basedOn w:val="Normal"/>
    <w:next w:val="BodyText"/>
    <w:qFormat/>
    <w:pPr>
      <w:numPr>
        <w:ilvl w:val="1"/>
        <w:numId w:val="1"/>
      </w:numPr>
      <w:spacing w:before="280" w:after="280"/>
      <w:outlineLvl w:val="1"/>
    </w:pPr>
    <w:rPr>
      <w:b/>
      <w:bCs/>
      <w:sz w:val="36"/>
      <w:szCs w:val="36"/>
    </w:rPr>
  </w:style>
  <w:style w:type="character" w:styleId="Style12">
    <w:name w:val="Основной шрифт абзаца"/>
    <w:qFormat/>
    <w:rPr/>
  </w:style>
  <w:style w:type="character" w:styleId="1">
    <w:name w:val="Заголовок 1 Знак"/>
    <w:qFormat/>
    <w:rPr>
      <w:rFonts w:ascii="Calibri Light" w:hAnsi="Calibri Light" w:eastAsia="Times New Roman" w:cs="Times New Roman"/>
      <w:color w:val="2E74B5"/>
      <w:sz w:val="32"/>
      <w:szCs w:val="32"/>
    </w:rPr>
  </w:style>
  <w:style w:type="character" w:styleId="2">
    <w:name w:val="Заголовок 2 Знак"/>
    <w:qFormat/>
    <w:rPr>
      <w:rFonts w:ascii="Calibri Light" w:hAnsi="Calibri Light" w:eastAsia="Times New Roman" w:cs="Times New Roman"/>
      <w:color w:val="2E74B5"/>
      <w:sz w:val="26"/>
      <w:szCs w:val="26"/>
    </w:rPr>
  </w:style>
  <w:style w:type="character" w:styleId="Style13">
    <w:name w:val="Текст выноски Знак"/>
    <w:qFormat/>
    <w:rPr>
      <w:rFonts w:ascii="Segoe UI" w:hAnsi="Segoe UI" w:eastAsia="Times New Roman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msonormal">
    <w:name w:val="msonormal"/>
    <w:basedOn w:val="Normal"/>
    <w:qFormat/>
    <w:pPr>
      <w:spacing w:before="280" w:after="280"/>
    </w:pPr>
    <w:rPr/>
  </w:style>
  <w:style w:type="paragraph" w:styleId="Style14">
    <w:name w:val="Обычный (веб)"/>
    <w:basedOn w:val="Normal"/>
    <w:qFormat/>
    <w:pPr>
      <w:spacing w:before="280" w:after="280"/>
    </w:pPr>
    <w:rPr/>
  </w:style>
  <w:style w:type="paragraph" w:styleId="cardview">
    <w:name w:val="cardview"/>
    <w:basedOn w:val="Normal"/>
    <w:qFormat/>
    <w:pPr>
      <w:spacing w:before="280" w:after="280"/>
    </w:pPr>
    <w:rPr>
      <w:sz w:val="18"/>
      <w:szCs w:val="18"/>
    </w:rPr>
  </w:style>
  <w:style w:type="paragraph" w:styleId="cardviewblank">
    <w:name w:val="cardviewblank"/>
    <w:basedOn w:val="Normal"/>
    <w:qFormat/>
    <w:pPr>
      <w:shd w:fill="FFFFFF" w:val="clear"/>
      <w:spacing w:before="280" w:after="280"/>
    </w:pPr>
    <w:rPr>
      <w:sz w:val="18"/>
      <w:szCs w:val="18"/>
    </w:rPr>
  </w:style>
  <w:style w:type="paragraph" w:styleId="view-form">
    <w:name w:val="view-form"/>
    <w:basedOn w:val="Normal"/>
    <w:qFormat/>
    <w:pPr>
      <w:spacing w:before="280" w:after="280"/>
    </w:pPr>
    <w:rPr>
      <w:sz w:val="18"/>
      <w:szCs w:val="18"/>
    </w:rPr>
  </w:style>
  <w:style w:type="paragraph" w:styleId="Style15">
    <w:name w:val="Текст выноски"/>
    <w:basedOn w:val="Normal"/>
    <w:qFormat/>
    <w:pPr/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2025-03-03T03:50:00Z</dcterms:created>
  <dc:creator>HomeNET</dc:creator>
  <dc:description/>
  <cp:keywords/>
  <dc:language>en-US</dc:language>
  <cp:lastModifiedBy>HomeNET</cp:lastModifiedBy>
  <cp:lastPrinted>2025-03-03T06:50:00Z</cp:lastPrinted>
  <dcterms:modified xsi:type="dcterms:W3CDTF">2025-03-03T03:50:00Z</dcterms:modified>
  <cp:revision>2</cp:revision>
  <dc:subject/>
  <dc:title>Протокол рассмотрения заявок на участие в аукционе 32514510759-01 (вх.№ 479163)</dc:title>
</cp:coreProperties>
</file>