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004"/>
        <w:jc w:val="center"/>
        <w:spacing w:before="360"/>
        <w:widowControl w:val="off"/>
        <w:rPr>
          <w:b/>
        </w:rPr>
      </w:pPr>
      <w:r>
        <w:rPr>
          <w:b/>
        </w:rPr>
        <w:t xml:space="preserve">ПРОТОКОЛ</w:t>
      </w:r>
      <w:r>
        <w:rPr>
          <w:b/>
        </w:rPr>
      </w:r>
      <w:r>
        <w:rPr>
          <w:b/>
        </w:rPr>
      </w:r>
    </w:p>
    <w:p>
      <w:pPr>
        <w:pStyle w:val="1004"/>
        <w:jc w:val="center"/>
        <w:rPr>
          <w:b/>
        </w:rPr>
      </w:pPr>
      <w:r>
        <w:t xml:space="preserve">заседания Закупочной комиссии по выбору Победителя</w:t>
      </w:r>
      <w:r>
        <w:rPr>
          <w:i/>
          <w:color w:val="548dd4"/>
        </w:rPr>
        <w:t xml:space="preserve"> </w:t>
      </w:r>
      <w:r>
        <w:t xml:space="preserve">закупки</w:t>
      </w:r>
      <w:r>
        <w:rPr>
          <w:b/>
        </w:rPr>
      </w:r>
      <w:r>
        <w:rPr>
          <w:b/>
        </w:rPr>
      </w:r>
    </w:p>
    <w:p>
      <w:pPr>
        <w:pStyle w:val="1004"/>
        <w:jc w:val="center"/>
        <w:widowControl w:val="off"/>
        <w:rPr>
          <w:b/>
        </w:rPr>
      </w:pPr>
      <w:r>
        <w:rPr>
          <w:b/>
        </w:rPr>
        <w:t xml:space="preserve"> </w:t>
      </w:r>
      <w:r>
        <w:rPr>
          <w:b/>
        </w:rPr>
      </w:r>
      <w:r>
        <w:rPr>
          <w:b/>
        </w:rPr>
      </w:r>
    </w:p>
    <w:tbl>
      <w:tblPr>
        <w:tblW w:w="10585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5341"/>
        <w:gridCol w:w="524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5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41" w:type="dxa"/>
            <w:vAlign w:val="bottom"/>
            <w:textDirection w:val="lrTb"/>
            <w:noWrap w:val="false"/>
          </w:tcPr>
          <w:p>
            <w:pPr>
              <w:pStyle w:val="1004"/>
            </w:pPr>
            <w:r>
              <w:t xml:space="preserve">Номер Протокола: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44" w:type="dxa"/>
            <w:vAlign w:val="bottom"/>
            <w:textDirection w:val="lrTb"/>
            <w:noWrap w:val="false"/>
          </w:tcPr>
          <w:p>
            <w:pPr>
              <w:pStyle w:val="1004"/>
            </w:pPr>
            <w:r>
              <w:t xml:space="preserve">№ 215915/ОЗП-ПВ</w:t>
            </w:r>
            <w:r>
              <w:t xml:space="preserve">П</w:t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9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41" w:type="dxa"/>
            <w:vAlign w:val="bottom"/>
            <w:textDirection w:val="lrTb"/>
            <w:noWrap w:val="false"/>
          </w:tcPr>
          <w:p>
            <w:pPr>
              <w:pStyle w:val="1004"/>
            </w:pPr>
            <w:r>
              <w:t xml:space="preserve">Способ закупки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44" w:type="dxa"/>
            <w:vAlign w:val="bottom"/>
            <w:textDirection w:val="lrTb"/>
            <w:noWrap w:val="false"/>
          </w:tcPr>
          <w:p>
            <w:pPr>
              <w:pStyle w:val="1004"/>
            </w:pPr>
            <w:r>
              <w:t xml:space="preserve">Открытый запрос предложений</w:t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1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41" w:type="dxa"/>
            <w:vAlign w:val="bottom"/>
            <w:textDirection w:val="lrTb"/>
            <w:noWrap w:val="false"/>
          </w:tcPr>
          <w:p>
            <w:pPr>
              <w:pStyle w:val="1004"/>
              <w:spacing w:before="120"/>
            </w:pPr>
            <w:r>
              <w:t xml:space="preserve">Предмет закупки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44" w:type="dxa"/>
            <w:vAlign w:val="bottom"/>
            <w:textDirection w:val="lrTb"/>
            <w:noWrap w:val="false"/>
          </w:tcPr>
          <w:p>
            <w:pPr>
              <w:spacing w:before="120"/>
              <w:rPr>
                <w:b/>
                <w:bCs/>
                <w:sz w:val="24"/>
                <w:szCs w:val="24"/>
                <w:u w:val="single"/>
                <w14:ligatures w14:val="none"/>
              </w:rPr>
            </w:pPr>
            <w:r>
              <w:rPr>
                <w:b/>
                <w:sz w:val="24"/>
                <w:szCs w:val="24"/>
                <w:u w:val="single"/>
              </w:rPr>
            </w:r>
            <w:r>
              <w:rPr>
                <w:b/>
                <w:bCs/>
                <w:sz w:val="24"/>
                <w:szCs w:val="24"/>
                <w:u w:val="single"/>
              </w:rPr>
              <w:t xml:space="preserve">Исследование явления феррорезонанса на ОРУ 220 кВ для Костромской ГРЭС</w:t>
            </w:r>
            <w:r>
              <w:rPr>
                <w:b/>
                <w:bCs/>
                <w:sz w:val="24"/>
                <w:szCs w:val="24"/>
                <w:u w:val="single"/>
                <w14:ligatures w14:val="none"/>
              </w:rPr>
            </w:r>
            <w:r>
              <w:rPr>
                <w:b/>
                <w:bCs/>
                <w:sz w:val="24"/>
                <w:szCs w:val="24"/>
                <w:u w:val="single"/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5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41" w:type="dxa"/>
            <w:vAlign w:val="bottom"/>
            <w:textDirection w:val="lrTb"/>
            <w:noWrap w:val="false"/>
          </w:tcPr>
          <w:p>
            <w:pPr>
              <w:pStyle w:val="1004"/>
            </w:pPr>
            <w:r>
              <w:t xml:space="preserve">Дата/время проведения заседания: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44" w:type="dxa"/>
            <w:vAlign w:val="bottom"/>
            <w:textDirection w:val="lrTb"/>
            <w:noWrap w:val="false"/>
          </w:tcPr>
          <w:p>
            <w:pPr>
              <w:pStyle w:val="1004"/>
              <w:rPr>
                <w:sz w:val="18"/>
                <w:szCs w:val="18"/>
              </w:rPr>
            </w:pPr>
            <w:r>
              <w:t xml:space="preserve">«03</w:t>
            </w:r>
            <w:r>
              <w:t xml:space="preserve">» марта </w:t>
            </w:r>
            <w:r>
              <w:t xml:space="preserve">2025 г. </w:t>
            </w:r>
            <w:r>
              <w:t xml:space="preserve">09</w:t>
            </w:r>
            <w:r>
              <w:t xml:space="preserve">:00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(</w:t>
            </w:r>
            <w:r>
              <w:rPr>
                <w:i/>
                <w:sz w:val="18"/>
                <w:szCs w:val="18"/>
              </w:rPr>
              <w:t xml:space="preserve">по московскому времени)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5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41" w:type="dxa"/>
            <w:vAlign w:val="bottom"/>
            <w:textDirection w:val="lrTb"/>
            <w:noWrap w:val="false"/>
          </w:tcPr>
          <w:p>
            <w:pPr>
              <w:pStyle w:val="1004"/>
            </w:pPr>
            <w:r>
              <w:t xml:space="preserve">Дата подписания протокола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44" w:type="dxa"/>
            <w:vAlign w:val="bottom"/>
            <w:textDirection w:val="lrTb"/>
            <w:noWrap w:val="false"/>
          </w:tcPr>
          <w:p>
            <w:pPr>
              <w:pStyle w:val="1004"/>
            </w:pPr>
            <w:r>
              <w:t xml:space="preserve">«</w:t>
            </w:r>
            <w:r>
              <w:t xml:space="preserve">03» марта </w:t>
            </w:r>
            <w:r>
              <w:t xml:space="preserve">2025 г.</w:t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5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41" w:type="dxa"/>
            <w:vAlign w:val="bottom"/>
            <w:textDirection w:val="lrTb"/>
            <w:noWrap w:val="false"/>
          </w:tcPr>
          <w:p>
            <w:pPr>
              <w:pStyle w:val="1004"/>
            </w:pPr>
            <w:r>
              <w:t xml:space="preserve">Начальная (максимальная) цена: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44" w:type="dxa"/>
            <w:vAlign w:val="bottom"/>
            <w:textDirection w:val="lrTb"/>
            <w:noWrap w:val="false"/>
          </w:tcPr>
          <w:p>
            <w:pPr>
              <w:spacing w:before="120"/>
              <w:rPr>
                <w:color w:val="548dd4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2 732 541,68</w:t>
            </w:r>
            <w:r>
              <w:rPr>
                <w:sz w:val="24"/>
                <w:szCs w:val="24"/>
              </w:rPr>
              <w:t xml:space="preserve"> 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руб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>
              <w:rPr>
                <w:sz w:val="24"/>
                <w:szCs w:val="24"/>
              </w:rPr>
              <w:t xml:space="preserve">(</w:t>
            </w:r>
            <w:r>
              <w:rPr>
                <w:sz w:val="24"/>
                <w:szCs w:val="24"/>
                <w:lang w:val="en-US"/>
              </w:rPr>
              <w:t xml:space="preserve">без НДС</w:t>
            </w:r>
            <w:r>
              <w:rPr>
                <w:sz w:val="24"/>
                <w:szCs w:val="24"/>
              </w:rPr>
              <w:t xml:space="preserve">)</w:t>
            </w:r>
            <w:r>
              <w:rPr>
                <w:color w:val="548dd4"/>
                <w:sz w:val="24"/>
                <w:szCs w:val="24"/>
              </w:rPr>
            </w:r>
            <w:r>
              <w:rPr>
                <w:color w:val="548dd4"/>
                <w:sz w:val="24"/>
                <w:szCs w:val="24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9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41" w:type="dxa"/>
            <w:vAlign w:val="bottom"/>
            <w:textDirection w:val="lrTb"/>
            <w:noWrap w:val="false"/>
          </w:tcPr>
          <w:p>
            <w:pPr>
              <w:pStyle w:val="1004"/>
            </w:pPr>
            <w:r>
              <w:t xml:space="preserve">Участниками могут быть только субъекты МСП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44" w:type="dxa"/>
            <w:vAlign w:val="bottom"/>
            <w:textDirection w:val="lrTb"/>
            <w:noWrap w:val="false"/>
          </w:tcPr>
          <w:p>
            <w:pPr>
              <w:pStyle w:val="1004"/>
            </w:pPr>
            <w:r>
              <w:t xml:space="preserve">нет</w:t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5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41" w:type="dxa"/>
            <w:vAlign w:val="bottom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t xml:space="preserve">Объем, цена закупаемых товаров, работ, услуг, срок исполнения договора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44" w:type="dxa"/>
            <w:vAlign w:val="bottom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t xml:space="preserve">в соответствии с Закупочной документацией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1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41" w:type="dxa"/>
            <w:vAlign w:val="bottom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t xml:space="preserve">Лот ГКПЗ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44" w:type="dxa"/>
            <w:vAlign w:val="bottom"/>
            <w:textDirection w:val="lrTb"/>
            <w:noWrap w:val="false"/>
          </w:tcPr>
          <w:p>
            <w:pPr>
              <w:rPr>
                <w14:ligatures w14:val="none"/>
              </w:rPr>
            </w:pPr>
            <w:r>
              <w:t xml:space="preserve">520.25.00135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</w:tbl>
    <w:p>
      <w:pPr>
        <w:pStyle w:val="1004"/>
        <w:jc w:val="center"/>
        <w:widowControl w:val="off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1004"/>
        <w:ind w:firstLine="709"/>
        <w:spacing w:before="120" w:after="120"/>
        <w:rPr>
          <w:b/>
        </w:rPr>
      </w:pPr>
      <w:r/>
      <w:bookmarkStart w:id="0" w:name="_Hlk95229328"/>
      <w:r>
        <w:rPr>
          <w:b/>
        </w:rPr>
        <w:t xml:space="preserve">ВОПРОСЫ ЗАСЕДАНИЯ ЗАКУПОЧНОЙ КОМИССИИ:</w:t>
      </w:r>
      <w:r>
        <w:rPr>
          <w:b/>
        </w:rPr>
      </w:r>
      <w:r>
        <w:rPr>
          <w:b/>
        </w:rPr>
      </w:r>
    </w:p>
    <w:p>
      <w:pPr>
        <w:pStyle w:val="1004"/>
        <w:ind w:firstLine="709"/>
        <w:spacing w:before="120" w:after="120"/>
        <w:rPr>
          <w:bCs/>
          <w:i/>
          <w:color w:val="548dd4"/>
          <w:highlight w:val="none"/>
        </w:rPr>
      </w:pPr>
      <w:r/>
      <w:bookmarkStart w:id="1" w:name="_Hlk126065367"/>
      <w:r/>
      <w:bookmarkStart w:id="2" w:name="_Hlk150520038"/>
      <w:r>
        <w:t xml:space="preserve">На </w:t>
      </w:r>
      <w:r>
        <w:t xml:space="preserve">участие в </w:t>
      </w:r>
      <w:r>
        <w:t xml:space="preserve">закупк</w:t>
      </w:r>
      <w:r>
        <w:t xml:space="preserve">е</w:t>
      </w:r>
      <w:r>
        <w:rPr>
          <w:i/>
          <w:color w:val="548dd4"/>
        </w:rPr>
        <w:t xml:space="preserve"> </w:t>
      </w:r>
      <w:r>
        <w:t xml:space="preserve">было п</w:t>
      </w:r>
      <w:r>
        <w:t xml:space="preserve">одано:</w:t>
      </w:r>
      <w:r>
        <w:t xml:space="preserve"> </w:t>
      </w:r>
      <w:r>
        <w:rPr>
          <w:bCs/>
          <w:i/>
          <w:color w:val="548dd4"/>
          <w:highlight w:val="none"/>
        </w:rPr>
      </w:r>
      <w:r>
        <w:rPr>
          <w:bCs/>
          <w:i/>
          <w:color w:val="548dd4"/>
          <w:highlight w:val="none"/>
        </w:rPr>
      </w:r>
    </w:p>
    <w:tbl>
      <w:tblPr>
        <w:tblW w:w="9923" w:type="dxa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64"/>
        <w:gridCol w:w="4114"/>
        <w:gridCol w:w="5245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473"/>
          <w:tblHeader/>
        </w:trPr>
        <w:tc>
          <w:tcPr>
            <w:shd w:val="clear" w:color="auto" w:fill="bfbfbf"/>
            <w:tcBorders>
              <w:bottom w:val="single" w:color="000000" w:sz="6" w:space="0"/>
            </w:tcBorders>
            <w:tcW w:w="564" w:type="dxa"/>
            <w:vAlign w:val="center"/>
            <w:textDirection w:val="lrTb"/>
            <w:noWrap w:val="false"/>
          </w:tcPr>
          <w:p>
            <w:pPr>
              <w:pStyle w:val="1004"/>
              <w:ind w:left="-108" w:right="-108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1004"/>
              <w:ind w:left="-108" w:right="-108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п/п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bottom w:val="single" w:color="000000" w:sz="6" w:space="0"/>
            </w:tcBorders>
            <w:tcW w:w="4114" w:type="dxa"/>
            <w:vAlign w:val="center"/>
            <w:textDirection w:val="lrTb"/>
            <w:noWrap w:val="false"/>
          </w:tcPr>
          <w:p>
            <w:pPr>
              <w:pStyle w:val="1004"/>
              <w:ind w:left="57" w:right="57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Порядковый номер Участника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bfbfbf"/>
            <w:tcBorders>
              <w:bottom w:val="single" w:color="000000" w:sz="6" w:space="0"/>
            </w:tcBorders>
            <w:tcW w:w="5245" w:type="dxa"/>
            <w:vAlign w:val="center"/>
            <w:textDirection w:val="lrTb"/>
            <w:noWrap w:val="false"/>
          </w:tcPr>
          <w:p>
            <w:pPr>
              <w:pStyle w:val="1004"/>
              <w:ind w:left="57" w:right="57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Дата и время регистрации заявки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474"/>
        </w:trPr>
        <w:tc>
          <w:tcPr>
            <w:tcW w:w="564" w:type="dxa"/>
            <w:vAlign w:val="center"/>
            <w:textDirection w:val="lrTb"/>
            <w:noWrap w:val="false"/>
          </w:tcPr>
          <w:p>
            <w:pPr>
              <w:pStyle w:val="1004"/>
              <w:numPr>
                <w:ilvl w:val="0"/>
                <w:numId w:val="1"/>
              </w:numPr>
              <w:ind w:left="0" w:firstLine="0"/>
              <w:jc w:val="left"/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4114" w:type="dxa"/>
            <w:vAlign w:val="center"/>
            <w:textDirection w:val="lrTb"/>
            <w:noWrap w:val="false"/>
          </w:tcPr>
          <w:p>
            <w:pPr>
              <w:pStyle w:val="100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Участник №1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</w:tcBorders>
            <w:tcW w:w="5245" w:type="dxa"/>
            <w:vAlign w:val="center"/>
            <w:textDirection w:val="lrTb"/>
            <w:noWrap w:val="false"/>
          </w:tcPr>
          <w:p>
            <w:pPr>
              <w:ind w:left="0" w:firstLine="0"/>
              <w:jc w:val="left"/>
              <w:spacing w:before="120" w:after="120"/>
              <w:rPr>
                <w:rFonts w:ascii="Arial" w:hAnsi="Arial" w:eastAsia="Arial" w:cs="Arial"/>
                <w:sz w:val="20"/>
              </w:rPr>
            </w:pPr>
            <w:r>
              <w:rPr>
                <w:sz w:val="22"/>
                <w:szCs w:val="22"/>
                <w:u w:val="single"/>
              </w:rPr>
              <w:t xml:space="preserve">Дата регистрации предложения: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30.01.2025 09:12:35</w:t>
            </w:r>
            <w:r>
              <w:rPr>
                <w:rFonts w:ascii="Arial" w:hAnsi="Arial" w:eastAsia="Arial" w:cs="Arial"/>
                <w:sz w:val="20"/>
              </w:rPr>
            </w:r>
            <w:r>
              <w:rPr>
                <w:rFonts w:ascii="Arial" w:hAnsi="Arial" w:eastAsia="Arial" w:cs="Arial"/>
                <w:sz w:val="20"/>
              </w:rPr>
            </w:r>
          </w:p>
        </w:tc>
      </w:tr>
    </w:tbl>
    <w:p>
      <w:pPr>
        <w:pStyle w:val="1004"/>
        <w:spacing w:before="120" w:after="120"/>
        <w:rPr>
          <w:b/>
        </w:rPr>
      </w:pPr>
      <w:r>
        <w:rPr>
          <w:b/>
        </w:rPr>
        <w:t xml:space="preserve">Вопрос 1 повестки:</w:t>
      </w:r>
      <w:r>
        <w:rPr>
          <w:b/>
        </w:rPr>
      </w:r>
      <w:r>
        <w:rPr>
          <w:b/>
        </w:rPr>
      </w:r>
    </w:p>
    <w:p>
      <w:pPr>
        <w:pStyle w:val="1004"/>
        <w:ind w:firstLine="709"/>
        <w:jc w:val="both"/>
        <w:spacing w:before="120" w:after="120"/>
        <w:widowControl w:val="off"/>
      </w:pPr>
      <w:r>
        <w:t xml:space="preserve">Об одобрении Сводного отчета Экспертной группы по оценке заявок.</w:t>
      </w:r>
      <w:r/>
    </w:p>
    <w:p>
      <w:pPr>
        <w:pStyle w:val="1004"/>
        <w:ind w:firstLine="709"/>
        <w:jc w:val="both"/>
        <w:spacing w:before="120" w:after="120"/>
        <w:widowControl w:val="off"/>
      </w:pPr>
      <w:r>
        <w:t xml:space="preserve">Члены Закупочной комиссии изучили поступившие заявки. Результаты оценки сведены в Сводный отчет Экспертной группы по оценке заявок (приложение № 1).</w:t>
      </w:r>
      <w:r/>
    </w:p>
    <w:p>
      <w:pPr>
        <w:pStyle w:val="1004"/>
        <w:ind w:firstLine="709"/>
        <w:jc w:val="both"/>
        <w:spacing w:before="120" w:after="120"/>
        <w:widowControl w:val="off"/>
      </w:pPr>
      <w:r>
        <w:t xml:space="preserve">Закупочной комиссии предлагается одобрить Сводный отчет Экспертной группы по оценке заявок.</w:t>
      </w:r>
      <w:r/>
    </w:p>
    <w:p>
      <w:pPr>
        <w:pStyle w:val="1004"/>
        <w:spacing w:before="120" w:after="120"/>
        <w:rPr>
          <w:b/>
        </w:rPr>
      </w:pPr>
      <w:r>
        <w:rPr>
          <w:b/>
        </w:rPr>
        <w:t xml:space="preserve">Вопрос 2 повестки: </w:t>
      </w:r>
      <w:r>
        <w:rPr>
          <w:b/>
        </w:rPr>
      </w:r>
      <w:r>
        <w:rPr>
          <w:b/>
        </w:rPr>
      </w:r>
    </w:p>
    <w:p>
      <w:pPr>
        <w:pStyle w:val="1004"/>
        <w:ind w:firstLine="709"/>
        <w:jc w:val="both"/>
        <w:spacing w:before="120" w:after="120"/>
        <w:rPr>
          <w:b/>
        </w:rPr>
      </w:pPr>
      <w:r/>
      <w:bookmarkStart w:id="3" w:name="_Hlk91151526"/>
      <w:r>
        <w:t xml:space="preserve">Предлагается признать заявки участников удовлетворяющими требованиям закупки и утвердить итоговое ранжирование в соответствии со Сводным отчетом Экспертной группы (приложение № 1).</w:t>
      </w:r>
      <w:bookmarkStart w:id="4" w:name="_Hlk90389813"/>
      <w:r>
        <w:t xml:space="preserve"> </w:t>
      </w:r>
      <w:bookmarkEnd w:id="0"/>
      <w:r/>
      <w:bookmarkEnd w:id="1"/>
      <w:r/>
      <w:bookmarkStart w:id="5" w:name="_Hlk94100168"/>
      <w:r>
        <w:t xml:space="preserve">Признать победителем участника, занявшего первое место, согласно итоговому ранжированию.</w:t>
      </w:r>
      <w:bookmarkEnd w:id="2"/>
      <w:r>
        <w:rPr>
          <w:b/>
        </w:rPr>
      </w:r>
      <w:r>
        <w:rPr>
          <w:b/>
        </w:rPr>
      </w:r>
    </w:p>
    <w:p>
      <w:pPr>
        <w:pStyle w:val="1004"/>
        <w:spacing w:before="120" w:after="120"/>
        <w:rPr>
          <w:b/>
        </w:rPr>
      </w:pPr>
      <w:r>
        <w:rPr>
          <w:b/>
        </w:rPr>
        <w:t xml:space="preserve">Вопрос </w:t>
      </w:r>
      <w:r>
        <w:rPr>
          <w:b/>
        </w:rPr>
        <w:t xml:space="preserve">3</w:t>
      </w:r>
      <w:r>
        <w:rPr>
          <w:b/>
        </w:rPr>
        <w:t xml:space="preserve"> повестки:</w:t>
      </w:r>
      <w:r>
        <w:rPr>
          <w:b/>
        </w:rPr>
      </w:r>
      <w:r>
        <w:rPr>
          <w:b/>
        </w:rPr>
      </w:r>
    </w:p>
    <w:p>
      <w:pPr>
        <w:pStyle w:val="1004"/>
        <w:ind w:firstLine="709"/>
        <w:jc w:val="both"/>
        <w:spacing w:before="120" w:after="120"/>
      </w:pPr>
      <w:r>
        <w:t xml:space="preserve">О возможности проведения преддоговорных переговоров с Победителем.</w:t>
      </w:r>
      <w:r/>
    </w:p>
    <w:p>
      <w:pPr>
        <w:pStyle w:val="1004"/>
        <w:ind w:firstLine="708"/>
        <w:jc w:val="both"/>
      </w:pPr>
      <w:r>
        <w:t xml:space="preserve">В целях уточнения несущественных для Заказчика условий договора, а также улучшения технико-коммерческого предложения победителя допускается проведение преддоговорных переговоров</w:t>
      </w:r>
      <w:r>
        <w:t xml:space="preserve">.</w:t>
      </w:r>
      <w:r/>
    </w:p>
    <w:p>
      <w:pPr>
        <w:pStyle w:val="1004"/>
        <w:jc w:val="both"/>
      </w:pPr>
      <w:r>
        <w:t xml:space="preserve">Зафиксировать результат преддоговорных переговоров в окончательных условиях заключаемого договора.</w:t>
      </w:r>
      <w:r/>
    </w:p>
    <w:p>
      <w:pPr>
        <w:pStyle w:val="1004"/>
        <w:ind w:firstLine="709"/>
        <w:spacing w:before="120" w:after="120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1004"/>
        <w:ind w:firstLine="709"/>
        <w:spacing w:before="120" w:after="120"/>
        <w:rPr>
          <w:b/>
        </w:rPr>
      </w:pPr>
      <w:r>
        <w:rPr>
          <w:b/>
        </w:rPr>
        <w:t xml:space="preserve">РЕШИЛИ:</w:t>
      </w:r>
      <w:r>
        <w:rPr>
          <w:b/>
        </w:rPr>
      </w:r>
      <w:r>
        <w:rPr>
          <w:b/>
        </w:rPr>
      </w:r>
    </w:p>
    <w:p>
      <w:pPr>
        <w:pStyle w:val="1004"/>
        <w:numPr>
          <w:ilvl w:val="0"/>
          <w:numId w:val="33"/>
        </w:numPr>
        <w:ind w:left="0" w:firstLine="0"/>
        <w:jc w:val="both"/>
        <w:spacing w:before="120"/>
        <w:tabs>
          <w:tab w:val="left" w:pos="709" w:leader="none"/>
        </w:tabs>
      </w:pPr>
      <w:r/>
      <w:bookmarkEnd w:id="3"/>
      <w:r>
        <w:t xml:space="preserve">Одобрить Отчет по итоговой оценке заявок.</w:t>
      </w:r>
      <w:r/>
    </w:p>
    <w:p>
      <w:pPr>
        <w:pStyle w:val="1004"/>
        <w:numPr>
          <w:ilvl w:val="0"/>
          <w:numId w:val="33"/>
        </w:numPr>
        <w:ind w:left="0" w:firstLine="0"/>
        <w:jc w:val="both"/>
        <w:spacing w:before="120"/>
        <w:tabs>
          <w:tab w:val="left" w:pos="-2835" w:leader="none"/>
        </w:tabs>
      </w:pPr>
      <w:r/>
      <w:bookmarkStart w:id="6" w:name="_Hlk91151398"/>
      <w:r/>
      <w:bookmarkStart w:id="7" w:name="_Hlk94100201"/>
      <w:r>
        <w:t xml:space="preserve">Признать заявки участников удовлетворяющими требованиям закупки и утвердить итоговое ранжирование в соответствии со Сводным отчетом Экспертной группы (приложение № 1). Признать победителем участника, занявшего первое место, согласно итоговому ранжированию.</w:t>
      </w:r>
      <w:bookmarkEnd w:id="4"/>
      <w:r/>
      <w:r/>
    </w:p>
    <w:p>
      <w:pPr>
        <w:pStyle w:val="1004"/>
        <w:numPr>
          <w:ilvl w:val="0"/>
          <w:numId w:val="33"/>
        </w:numPr>
        <w:ind w:left="0" w:firstLine="0"/>
        <w:jc w:val="both"/>
        <w:spacing w:before="120"/>
        <w:tabs>
          <w:tab w:val="left" w:pos="709" w:leader="none"/>
        </w:tabs>
      </w:pPr>
      <w:r/>
      <w:bookmarkEnd w:id="5"/>
      <w:r>
        <w:t xml:space="preserve">Допускается проведение преддоговорных переговоров с </w:t>
      </w:r>
      <w:r>
        <w:t xml:space="preserve">целью уточнения несущественных для Заказчика несущественных условий договора, а также улучшения технико-коммерческого предложения Победителя.</w:t>
      </w:r>
      <w:r/>
    </w:p>
    <w:p>
      <w:pPr>
        <w:pStyle w:val="1004"/>
        <w:jc w:val="both"/>
        <w:spacing w:before="120"/>
        <w:tabs>
          <w:tab w:val="left" w:pos="709" w:leader="none"/>
        </w:tabs>
      </w:pPr>
      <w:r>
        <w:t xml:space="preserve">Зафиксировать результат преддоговорных переговоров в окончательных условиях заключаемого договора и </w:t>
      </w:r>
      <w:r>
        <w:t xml:space="preserve">заключить договор на условиях, согласованных Заказчиком и </w:t>
      </w:r>
      <w:r>
        <w:t xml:space="preserve">Победителем в рамках</w:t>
      </w:r>
      <w:r>
        <w:t xml:space="preserve"> проведенных преддоговорных переговоров.</w:t>
      </w:r>
      <w:bookmarkEnd w:id="6"/>
      <w:r/>
      <w:r/>
    </w:p>
    <w:p>
      <w:pPr>
        <w:pStyle w:val="1004"/>
        <w:numPr>
          <w:ilvl w:val="0"/>
          <w:numId w:val="33"/>
        </w:numPr>
        <w:ind w:left="0" w:firstLine="0"/>
        <w:jc w:val="both"/>
        <w:spacing w:before="120"/>
        <w:tabs>
          <w:tab w:val="left" w:pos="709" w:leader="none"/>
        </w:tabs>
      </w:pPr>
      <w:r/>
      <w:bookmarkEnd w:id="7"/>
      <w:r>
        <w:t xml:space="preserve">Победителю предоставить справку о цепочке собственников в соответствии с Гарантийным письмом в сроки, установленные закупочной документацией.</w:t>
      </w:r>
      <w:r/>
    </w:p>
    <w:p>
      <w:pPr>
        <w:pStyle w:val="1004"/>
        <w:numPr>
          <w:ilvl w:val="0"/>
          <w:numId w:val="33"/>
        </w:numPr>
        <w:ind w:left="0" w:firstLine="0"/>
        <w:jc w:val="both"/>
        <w:spacing w:before="120"/>
        <w:tabs>
          <w:tab w:val="left" w:pos="709" w:leader="none"/>
        </w:tabs>
      </w:pPr>
      <w:r>
        <w:t xml:space="preserve">Провести экспертную оценку справки о цепочке собственников, предоставленную Победителем в соответствии с Гарантийным письмом в составе заявки в течение 5 (пяти) рабочих дней.</w:t>
      </w:r>
      <w:r/>
    </w:p>
    <w:p>
      <w:pPr>
        <w:pStyle w:val="1004"/>
        <w:numPr>
          <w:ilvl w:val="0"/>
          <w:numId w:val="33"/>
        </w:numPr>
        <w:ind w:left="0" w:firstLine="0"/>
        <w:jc w:val="both"/>
        <w:spacing w:before="120"/>
      </w:pPr>
      <w:r>
        <w:t xml:space="preserve">Договор </w:t>
      </w:r>
      <w:r>
        <w:t xml:space="preserve">без протокола разногласий </w:t>
      </w:r>
      <w:r>
        <w:t xml:space="preserve">с Победителем будет заключен в срок, установленный Извещением</w:t>
      </w:r>
      <w:r>
        <w:rPr>
          <w:i/>
          <w:color w:val="4f81bd"/>
        </w:rPr>
        <w:t xml:space="preserve">.</w:t>
      </w:r>
      <w:r/>
    </w:p>
    <w:p>
      <w:pPr>
        <w:pStyle w:val="1004"/>
        <w:jc w:val="both"/>
        <w:spacing w:before="120"/>
      </w:pPr>
      <w:r/>
      <w:r/>
    </w:p>
    <w:p>
      <w:pPr>
        <w:pStyle w:val="1004"/>
        <w:spacing w:before="120" w:after="120"/>
        <w:widowControl w:val="off"/>
        <w:rPr>
          <w:b/>
        </w:rPr>
      </w:pPr>
      <w:r>
        <w:rPr>
          <w:b/>
        </w:rPr>
        <w:t xml:space="preserve">      </w:t>
      </w:r>
      <w:r>
        <w:rPr>
          <w:b/>
        </w:rPr>
        <w:t xml:space="preserve"> </w:t>
      </w:r>
      <w:r>
        <w:rPr>
          <w:b/>
        </w:rPr>
      </w:r>
    </w:p>
    <w:p>
      <w:pPr>
        <w:pStyle w:val="1004"/>
        <w:spacing w:before="120" w:after="120"/>
        <w:widowControl w:val="off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sectPr>
      <w:headerReference w:type="first" r:id="rId9"/>
      <w:footerReference w:type="default" r:id="rId10"/>
      <w:footerReference w:type="first" r:id="rId11"/>
      <w:footnotePr/>
      <w:endnotePr/>
      <w:type w:val="nextPage"/>
      <w:pgSz w:w="11906" w:h="16838" w:orient="portrait"/>
      <w:pgMar w:top="720" w:right="720" w:bottom="720" w:left="720" w:header="0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Tahoma">
    <w:panose1 w:val="020B0604030504040204"/>
  </w:font>
  <w:font w:name="Verdan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19"/>
      <w:tabs>
        <w:tab w:val="clear" w:pos="4677" w:leader="none"/>
        <w:tab w:val="center" w:pos="4890" w:leader="none"/>
        <w:tab w:val="clear" w:pos="9355" w:leader="none"/>
      </w:tabs>
      <w:rPr>
        <w:i/>
        <w:sz w:val="20"/>
        <w:szCs w:val="20"/>
        <w:lang w:val="ru-RU"/>
      </w:rPr>
    </w:pPr>
    <w:r>
      <w:t xml:space="preserve"> </w:t>
    </w:r>
    <w:r>
      <w:tab/>
    </w:r>
    <w:r>
      <w:rPr>
        <w:i/>
        <w:sz w:val="20"/>
        <w:szCs w:val="20"/>
      </w:rPr>
      <w:t xml:space="preserve">215915</w:t>
    </w:r>
    <w:r>
      <w:rPr>
        <w:i/>
        <w:sz w:val="20"/>
        <w:szCs w:val="20"/>
      </w:rPr>
      <w:t xml:space="preserve">/ОЗП-ПВП</w:t>
    </w:r>
    <w:r>
      <w:rPr>
        <w:i/>
        <w:sz w:val="20"/>
        <w:szCs w:val="20"/>
        <w:lang w:val="ru-RU"/>
      </w:rPr>
    </w:r>
    <w:r>
      <w:rPr>
        <w:i/>
        <w:sz w:val="20"/>
        <w:szCs w:val="20"/>
        <w:lang w:val="ru-RU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Ind w:w="0" w:type="dxa"/>
      <w:tblLayout w:type="autofit"/>
      <w:tblCellMar>
        <w:left w:w="0" w:type="dxa"/>
        <w:top w:w="0" w:type="dxa"/>
        <w:right w:w="0" w:type="dxa"/>
        <w:bottom w:w="0" w:type="dxa"/>
      </w:tblCellMar>
      <w:tblLook w:val="04A0" w:firstRow="1" w:lastRow="0" w:firstColumn="1" w:lastColumn="0" w:noHBand="0" w:noVBand="1"/>
    </w:tblPr>
    <w:tblGrid>
      <w:gridCol w:w="5025"/>
      <w:gridCol w:w="419"/>
      <w:gridCol w:w="5022"/>
    </w:tblGrid>
    <w:tr>
      <w:tblPrEx/>
      <w:trPr/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W w:w="2401" w:type="pct"/>
          <w:vAlign w:val="top"/>
          <w:textDirection w:val="lrTb"/>
          <w:noWrap w:val="false"/>
        </w:tcPr>
        <w:p>
          <w:pPr>
            <w:pStyle w:val="1019"/>
            <w:tabs>
              <w:tab w:val="clear" w:pos="4677" w:leader="none"/>
              <w:tab w:val="clear" w:pos="9355" w:leader="none"/>
            </w:tabs>
            <w:rPr>
              <w:caps/>
              <w:color w:val="5b9bd5"/>
              <w:sz w:val="18"/>
              <w:szCs w:val="18"/>
            </w:rPr>
          </w:pPr>
          <w:r>
            <w:rPr>
              <w:caps/>
              <w:color w:val="5b9bd5"/>
              <w:sz w:val="18"/>
              <w:szCs w:val="18"/>
            </w:rPr>
          </w:r>
          <w:r>
            <w:rPr>
              <w:caps/>
              <w:color w:val="5b9bd5"/>
              <w:sz w:val="18"/>
              <w:szCs w:val="18"/>
            </w:rPr>
          </w:r>
          <w:r>
            <w:rPr>
              <w:caps/>
              <w:color w:val="5b9bd5"/>
              <w:sz w:val="18"/>
              <w:szCs w:val="18"/>
            </w:rPr>
          </w:r>
        </w:p>
      </w:tc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W w:w="200" w:type="pct"/>
          <w:vAlign w:val="top"/>
          <w:textDirection w:val="lrTb"/>
          <w:noWrap w:val="false"/>
        </w:tcPr>
        <w:p>
          <w:pPr>
            <w:pStyle w:val="1019"/>
            <w:tabs>
              <w:tab w:val="clear" w:pos="4677" w:leader="none"/>
              <w:tab w:val="clear" w:pos="9355" w:leader="none"/>
            </w:tabs>
            <w:rPr>
              <w:caps/>
              <w:color w:val="5b9bd5"/>
              <w:sz w:val="18"/>
              <w:szCs w:val="18"/>
            </w:rPr>
          </w:pPr>
          <w:r>
            <w:rPr>
              <w:caps/>
              <w:color w:val="5b9bd5"/>
              <w:sz w:val="18"/>
              <w:szCs w:val="18"/>
            </w:rPr>
          </w:r>
          <w:r>
            <w:rPr>
              <w:caps/>
              <w:color w:val="5b9bd5"/>
              <w:sz w:val="18"/>
              <w:szCs w:val="18"/>
            </w:rPr>
          </w:r>
          <w:r>
            <w:rPr>
              <w:caps/>
              <w:color w:val="5b9bd5"/>
              <w:sz w:val="18"/>
              <w:szCs w:val="18"/>
            </w:rPr>
          </w:r>
        </w:p>
      </w:tc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W w:w="2399" w:type="pct"/>
          <w:vAlign w:val="top"/>
          <w:textDirection w:val="lrTb"/>
          <w:noWrap w:val="false"/>
        </w:tcPr>
        <w:p>
          <w:pPr>
            <w:pStyle w:val="1019"/>
            <w:jc w:val="right"/>
            <w:tabs>
              <w:tab w:val="clear" w:pos="4677" w:leader="none"/>
              <w:tab w:val="clear" w:pos="9355" w:leader="none"/>
            </w:tabs>
            <w:rPr>
              <w:caps/>
              <w:color w:val="5b9bd5"/>
              <w:sz w:val="18"/>
              <w:szCs w:val="18"/>
            </w:rPr>
          </w:pPr>
          <w:r>
            <w:rPr>
              <w:caps/>
              <w:color w:val="5b9bd5"/>
              <w:sz w:val="18"/>
              <w:szCs w:val="18"/>
            </w:rPr>
          </w:r>
          <w:r>
            <w:rPr>
              <w:caps/>
              <w:color w:val="5b9bd5"/>
              <w:sz w:val="18"/>
              <w:szCs w:val="18"/>
            </w:rPr>
          </w:r>
          <w:r>
            <w:rPr>
              <w:caps/>
              <w:color w:val="5b9bd5"/>
              <w:sz w:val="18"/>
              <w:szCs w:val="18"/>
            </w:rPr>
          </w:r>
        </w:p>
      </w:tc>
    </w:tr>
  </w:tbl>
  <w:p>
    <w:pPr>
      <w:pStyle w:val="1019"/>
      <w:jc w:val="center"/>
      <w:tabs>
        <w:tab w:val="left" w:pos="3825" w:leader="none"/>
        <w:tab w:val="clear" w:pos="4677" w:leader="none"/>
        <w:tab w:val="clear" w:pos="9355" w:leader="none"/>
      </w:tabs>
      <w:rPr>
        <w:i/>
        <w:sz w:val="20"/>
        <w:szCs w:val="20"/>
      </w:rPr>
    </w:pPr>
    <w:r>
      <w:rPr>
        <w:i/>
        <w:sz w:val="20"/>
        <w:szCs w:val="20"/>
      </w:rPr>
      <w:t xml:space="preserve">215915</w:t>
    </w:r>
    <w:r>
      <w:rPr>
        <w:i/>
        <w:sz w:val="20"/>
        <w:szCs w:val="20"/>
      </w:rPr>
      <w:t xml:space="preserve">/ОЗП-ПВП</w:t>
    </w:r>
    <w:r>
      <w:rPr>
        <w:i/>
        <w:sz w:val="20"/>
        <w:szCs w:val="20"/>
      </w:rPr>
    </w:r>
    <w:r>
      <w:rPr>
        <w:i/>
        <w:sz w:val="20"/>
        <w:szCs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  <w:p>
    <w:r/>
    <w:r/>
  </w:p>
  <w:tbl>
    <w:tblPr>
      <w:tblW w:w="10926" w:type="dxa"/>
      <w:tblInd w:w="-45" w:type="dxa"/>
      <w:tblLayout w:type="fixed"/>
      <w:tblCellMar>
        <w:left w:w="108" w:type="dxa"/>
        <w:top w:w="0" w:type="dxa"/>
        <w:right w:w="108" w:type="dxa"/>
        <w:bottom w:w="0" w:type="dxa"/>
      </w:tblCellMar>
      <w:tblLook w:val="04A0" w:firstRow="1" w:lastRow="0" w:firstColumn="1" w:lastColumn="0" w:noHBand="0" w:noVBand="1"/>
    </w:tblPr>
    <w:tblGrid>
      <w:gridCol w:w="10926"/>
    </w:tblGrid>
    <w:tr>
      <w:tblPrEx/>
      <w:trPr>
        <w:trHeight w:val="625"/>
      </w:trPr>
      <w:tc>
        <w:tcPr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W w:w="10926" w:type="dxa"/>
          <w:vAlign w:val="center"/>
          <w:textDirection w:val="lrTb"/>
          <w:noWrap w:val="false"/>
        </w:tcPr>
        <w:p>
          <w:pPr>
            <w:pStyle w:val="1004"/>
            <w:ind w:left="1168" w:right="1167"/>
            <w:jc w:val="center"/>
            <w:widowControl w:val="off"/>
            <w:tabs>
              <w:tab w:val="left" w:pos="8931" w:leader="none"/>
            </w:tabs>
            <w:rPr>
              <w:i/>
              <w:sz w:val="22"/>
              <w:szCs w:val="22"/>
              <w:lang w:eastAsia="en-US"/>
            </w:rPr>
          </w:pPr>
          <w:r>
            <w:rPr>
              <w:i/>
              <w:sz w:val="22"/>
              <w:szCs w:val="22"/>
              <w:lang w:eastAsia="en-US"/>
            </w:rPr>
            <w:t xml:space="preserve">Закупочный центр «Запад»                        </w:t>
          </w:r>
          <w:r>
            <w:rPr>
              <w:i/>
              <w:sz w:val="22"/>
              <w:szCs w:val="22"/>
              <w:lang w:eastAsia="en-US"/>
            </w:rPr>
          </w:r>
          <w:r>
            <w:rPr>
              <w:i/>
              <w:sz w:val="22"/>
              <w:szCs w:val="22"/>
              <w:lang w:eastAsia="en-US"/>
            </w:rPr>
          </w:r>
        </w:p>
        <w:p>
          <w:pPr>
            <w:pStyle w:val="1004"/>
            <w:ind w:left="1168" w:right="1167"/>
            <w:jc w:val="center"/>
            <w:widowControl w:val="off"/>
            <w:tabs>
              <w:tab w:val="left" w:pos="8931" w:leader="none"/>
            </w:tabs>
            <w:rPr>
              <w:sz w:val="18"/>
              <w:szCs w:val="18"/>
              <w:lang w:eastAsia="en-US"/>
            </w:rPr>
          </w:pPr>
          <w:r>
            <w:rPr>
              <w:i/>
              <w:sz w:val="22"/>
              <w:szCs w:val="22"/>
              <w:lang w:eastAsia="en-US"/>
            </w:rPr>
            <w:t xml:space="preserve">Филиал «Костромская ГРЭС АО «Интер РАО – Электрогенерация»</w:t>
          </w:r>
          <w:r>
            <w:rPr>
              <w:sz w:val="18"/>
              <w:szCs w:val="18"/>
              <w:lang w:eastAsia="en-US"/>
            </w:rPr>
          </w:r>
          <w:r>
            <w:rPr>
              <w:sz w:val="18"/>
              <w:szCs w:val="18"/>
              <w:lang w:eastAsia="en-US"/>
            </w:rPr>
          </w:r>
        </w:p>
      </w:tc>
    </w:tr>
  </w:tbl>
  <w:p>
    <w:pPr>
      <w:pStyle w:val="10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6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98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0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2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4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6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58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0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2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i w:val="0"/>
        <w:color w:val="000000"/>
      </w:rPr>
    </w:lvl>
    <w:lvl w:ilvl="1">
      <w:start w:val="1"/>
      <w:numFmt w:val="bullet"/>
      <w:isLgl w:val="false"/>
      <w:suff w:val="tab"/>
      <w:lvlText w:val=""/>
      <w:lvlJc w:val="left"/>
      <w:pPr>
        <w:ind w:left="792" w:hanging="432"/>
      </w:pPr>
      <w:rPr>
        <w:rFonts w:ascii="Symbol" w:hAnsi="Symbol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18" w:hanging="709"/>
        <w:tabs>
          <w:tab w:val="num" w:pos="1418" w:leader="none"/>
        </w:tabs>
      </w:pPr>
      <w:rPr>
        <w:rFonts w:ascii="Symbol" w:hAnsi="Symbol"/>
        <w:color w:val="00000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8">
    <w:multiLevelType w:val="hybridMultilevel"/>
    <w:lvl w:ilvl="0">
      <w:start w:val="1"/>
      <w:numFmt w:val="decimal"/>
      <w:pStyle w:val="1024"/>
      <w:isLgl w:val="false"/>
      <w:suff w:val="tab"/>
      <w:lvlText w:val="%1."/>
      <w:lvlJc w:val="left"/>
      <w:pPr>
        <w:ind w:left="0" w:firstLine="567"/>
        <w:tabs>
          <w:tab w:val="num" w:pos="1134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2126" w:hanging="708"/>
        <w:tabs>
          <w:tab w:val="num" w:pos="708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2835" w:hanging="708"/>
        <w:tabs>
          <w:tab w:val="num" w:pos="2835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3540" w:hanging="708"/>
        <w:tabs>
          <w:tab w:val="num" w:pos="708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4248" w:hanging="708"/>
        <w:tabs>
          <w:tab w:val="num" w:pos="708" w:leader="none"/>
        </w:tabs>
      </w:pPr>
    </w:lvl>
    <w:lvl w:ilvl="5">
      <w:start w:val="0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664" w:hanging="708"/>
        <w:tabs>
          <w:tab w:val="num" w:pos="708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372" w:hanging="708"/>
        <w:tabs>
          <w:tab w:val="num" w:pos="708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080" w:hanging="708"/>
        <w:tabs>
          <w:tab w:val="num" w:pos="708" w:leader="none"/>
        </w:tabs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8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8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8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8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8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8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8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8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sz w:val="24"/>
        <w:szCs w:val="24"/>
      </w:rPr>
    </w:lvl>
    <w:lvl w:ilvl="1">
      <w:start w:val="1"/>
      <w:numFmt w:val="bullet"/>
      <w:isLgl w:val="false"/>
      <w:suff w:val="tab"/>
      <w:lvlText w:val=""/>
      <w:lvlJc w:val="left"/>
      <w:pPr>
        <w:ind w:left="1418" w:hanging="709"/>
        <w:tabs>
          <w:tab w:val="num" w:pos="1418" w:leader="none"/>
        </w:tabs>
      </w:pPr>
      <w:rPr>
        <w:rFonts w:ascii="Symbol" w:hAnsi="Symbol"/>
        <w:b w:val="0"/>
        <w:i w:val="0"/>
        <w:color w:val="000000"/>
        <w:sz w:val="24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134" w:hanging="1134"/>
        <w:tabs>
          <w:tab w:val="num" w:pos="1134" w:leader="none"/>
        </w:tabs>
      </w:pPr>
    </w:lvl>
    <w:lvl w:ilvl="1">
      <w:start w:val="1"/>
      <w:numFmt w:val="decimal"/>
      <w:isLgl w:val="false"/>
      <w:suff w:val="tab"/>
      <w:lvlText w:val="%1.%2"/>
      <w:lvlJc w:val="left"/>
      <w:pPr>
        <w:ind w:left="1134" w:hanging="1134"/>
        <w:tabs>
          <w:tab w:val="num" w:pos="1134" w:leader="none"/>
        </w:tabs>
      </w:pPr>
      <w:rPr>
        <w:b/>
        <w:sz w:val="26"/>
        <w:szCs w:val="26"/>
      </w:rPr>
    </w:lvl>
    <w:lvl w:ilvl="2">
      <w:start w:val="1"/>
      <w:numFmt w:val="decimal"/>
      <w:isLgl w:val="false"/>
      <w:suff w:val="tab"/>
      <w:lvlText w:val="%1.%2.%3"/>
      <w:lvlJc w:val="left"/>
      <w:pPr>
        <w:ind w:left="1134" w:hanging="1134"/>
        <w:tabs>
          <w:tab w:val="num" w:pos="1134" w:leader="none"/>
        </w:tabs>
      </w:pPr>
      <w:rPr>
        <w:b w:val="0"/>
        <w:i w:val="0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134" w:hanging="1134"/>
        <w:tabs>
          <w:tab w:val="num" w:pos="1134" w:leader="none"/>
        </w:tabs>
      </w:pPr>
      <w:rPr>
        <w:b w:val="0"/>
        <w:i w:val="0"/>
      </w:rPr>
    </w:lvl>
    <w:lvl w:ilvl="4">
      <w:start w:val="1"/>
      <w:numFmt w:val="lowerLetter"/>
      <w:isLgl w:val="false"/>
      <w:suff w:val="tab"/>
      <w:lvlText w:val="%5)"/>
      <w:lvlJc w:val="left"/>
      <w:pPr>
        <w:ind w:left="1701" w:hanging="567"/>
        <w:tabs>
          <w:tab w:val="num" w:pos="1701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96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468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540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6120" w:leader="none"/>
        </w:tabs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ascii="Symbol" w:hAnsi="Symbol"/>
        <w:b w:val="0"/>
        <w:i w:val="0"/>
        <w:color w:val="000000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sz w:val="24"/>
        <w:szCs w:val="24"/>
      </w:rPr>
    </w:lvl>
    <w:lvl w:ilvl="1">
      <w:start w:val="1"/>
      <w:numFmt w:val="bullet"/>
      <w:isLgl w:val="false"/>
      <w:suff w:val="tab"/>
      <w:lvlText w:val=""/>
      <w:lvlJc w:val="left"/>
      <w:pPr>
        <w:ind w:left="1418" w:hanging="709"/>
        <w:tabs>
          <w:tab w:val="num" w:pos="1418" w:leader="none"/>
        </w:tabs>
      </w:pPr>
      <w:rPr>
        <w:rFonts w:ascii="Symbol" w:hAnsi="Symbol"/>
        <w:b w:val="0"/>
        <w:i w:val="0"/>
        <w:sz w:val="24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</w:lvl>
    <w:lvl w:ilvl="1">
      <w:start w:val="1"/>
      <w:numFmt w:val="decimal"/>
      <w:isLgl w:val="false"/>
      <w:suff w:val="tab"/>
      <w:lvlText w:val="%1.%2"/>
      <w:lvlJc w:val="left"/>
      <w:pPr>
        <w:tabs>
          <w:tab w:val="num" w:pos="0" w:leader="none"/>
        </w:tabs>
      </w:pPr>
      <w:rPr>
        <w:color w:val="000000"/>
      </w:rPr>
    </w:lvl>
    <w:lvl w:ilvl="2">
      <w:start w:val="1"/>
      <w:numFmt w:val="decimal"/>
      <w:isLgl w:val="false"/>
      <w:suff w:val="tab"/>
      <w:lvlText w:val="%1.%2.%3"/>
      <w:lvlJc w:val="left"/>
      <w:pPr>
        <w:tabs>
          <w:tab w:val="num" w:pos="0" w:leader="none"/>
        </w:tabs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bullet"/>
      <w:isLgl w:val="false"/>
      <w:suff w:val="tab"/>
      <w:lvlText w:val=""/>
      <w:lvlJc w:val="left"/>
      <w:pPr>
        <w:ind w:left="792" w:hanging="432"/>
      </w:pPr>
      <w:rPr>
        <w:rFonts w:ascii="Symbol" w:hAnsi="Symbol"/>
        <w:b w:val="0"/>
        <w:i w:val="0"/>
        <w:color w:val="000000"/>
        <w:sz w:val="16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709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8"/>
        <w:szCs w:val="28"/>
        <w:vertAlign w:val="baseline"/>
      </w:rPr>
    </w:lvl>
    <w:lvl w:ilvl="1">
      <w:start w:val="1"/>
      <w:numFmt w:val="decimal"/>
      <w:isLgl w:val="false"/>
      <w:suff w:val="tab"/>
      <w:lvlText w:val="%2."/>
      <w:lvlJc w:val="left"/>
      <w:pPr>
        <w:ind w:left="1080" w:firstLine="0"/>
        <w:tabs>
          <w:tab w:val="num" w:pos="108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8"/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40" w:hanging="360"/>
        <w:tabs>
          <w:tab w:val="num" w:pos="1440" w:leader="none"/>
        </w:tabs>
      </w:pPr>
      <w:rPr>
        <w:rFonts w:ascii="Symbol" w:hAnsi="Symbol"/>
        <w:b w:val="0"/>
        <w:i w:val="0"/>
        <w:color w:val="000000"/>
        <w:sz w:val="16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/>
      </w:rPr>
    </w:lvl>
  </w:abstractNum>
  <w:num w:numId="1">
    <w:abstractNumId w:val="0"/>
  </w:num>
  <w:num w:numId="2">
    <w:abstractNumId w:val="9"/>
  </w:num>
  <w:num w:numId="3">
    <w:abstractNumId w:val="13"/>
  </w:num>
  <w:num w:numId="4">
    <w:abstractNumId w:val="29"/>
  </w:num>
  <w:num w:numId="5">
    <w:abstractNumId w:val="32"/>
  </w:num>
  <w:num w:numId="6">
    <w:abstractNumId w:val="28"/>
  </w:num>
  <w:num w:numId="7">
    <w:abstractNumId w:val="15"/>
  </w:num>
  <w:num w:numId="8">
    <w:abstractNumId w:val="21"/>
  </w:num>
  <w:num w:numId="9">
    <w:abstractNumId w:val="19"/>
  </w:num>
  <w:num w:numId="10">
    <w:abstractNumId w:val="2"/>
  </w:num>
  <w:num w:numId="11">
    <w:abstractNumId w:val="20"/>
  </w:num>
  <w:num w:numId="12">
    <w:abstractNumId w:val="25"/>
  </w:num>
  <w:num w:numId="13">
    <w:abstractNumId w:val="33"/>
  </w:num>
  <w:num w:numId="14">
    <w:abstractNumId w:val="23"/>
  </w:num>
  <w:num w:numId="15">
    <w:abstractNumId w:val="31"/>
  </w:num>
  <w:num w:numId="16">
    <w:abstractNumId w:val="12"/>
  </w:num>
  <w:num w:numId="17">
    <w:abstractNumId w:val="24"/>
  </w:num>
  <w:num w:numId="18">
    <w:abstractNumId w:val="4"/>
  </w:num>
  <w:num w:numId="19">
    <w:abstractNumId w:val="30"/>
  </w:num>
  <w:num w:numId="20">
    <w:abstractNumId w:val="6"/>
  </w:num>
  <w:num w:numId="21">
    <w:abstractNumId w:val="16"/>
  </w:num>
  <w:num w:numId="22">
    <w:abstractNumId w:val="8"/>
  </w:num>
  <w:num w:numId="23">
    <w:abstractNumId w:val="7"/>
  </w:num>
  <w:num w:numId="24">
    <w:abstractNumId w:val="17"/>
  </w:num>
  <w:num w:numId="25">
    <w:abstractNumId w:val="27"/>
  </w:num>
  <w:num w:numId="26">
    <w:abstractNumId w:val="18"/>
  </w:num>
  <w:num w:numId="27">
    <w:abstractNumId w:val="14"/>
  </w:num>
  <w:num w:numId="28">
    <w:abstractNumId w:val="5"/>
  </w:num>
  <w:num w:numId="29">
    <w:abstractNumId w:val="3"/>
  </w:num>
  <w:num w:numId="30">
    <w:abstractNumId w:val="1"/>
  </w:num>
  <w:num w:numId="31">
    <w:abstractNumId w:val="11"/>
  </w:num>
  <w:num w:numId="32">
    <w:abstractNumId w:val="26"/>
  </w:num>
  <w:num w:numId="33">
    <w:abstractNumId w:val="22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826">
    <w:name w:val="Heading 1"/>
    <w:basedOn w:val="1004"/>
    <w:next w:val="1004"/>
    <w:link w:val="82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827">
    <w:name w:val="Heading 1 Char"/>
    <w:link w:val="826"/>
    <w:uiPriority w:val="9"/>
    <w:rPr>
      <w:rFonts w:ascii="Arial" w:hAnsi="Arial" w:eastAsia="Arial" w:cs="Arial"/>
      <w:sz w:val="40"/>
      <w:szCs w:val="40"/>
    </w:rPr>
  </w:style>
  <w:style w:type="paragraph" w:styleId="828">
    <w:name w:val="Heading 2"/>
    <w:basedOn w:val="1004"/>
    <w:next w:val="1004"/>
    <w:link w:val="82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829">
    <w:name w:val="Heading 2 Char"/>
    <w:link w:val="828"/>
    <w:uiPriority w:val="9"/>
    <w:rPr>
      <w:rFonts w:ascii="Arial" w:hAnsi="Arial" w:eastAsia="Arial" w:cs="Arial"/>
      <w:sz w:val="34"/>
    </w:rPr>
  </w:style>
  <w:style w:type="paragraph" w:styleId="830">
    <w:name w:val="Heading 3"/>
    <w:basedOn w:val="1004"/>
    <w:next w:val="1004"/>
    <w:link w:val="83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831">
    <w:name w:val="Heading 3 Char"/>
    <w:link w:val="830"/>
    <w:uiPriority w:val="9"/>
    <w:rPr>
      <w:rFonts w:ascii="Arial" w:hAnsi="Arial" w:eastAsia="Arial" w:cs="Arial"/>
      <w:sz w:val="30"/>
      <w:szCs w:val="30"/>
    </w:rPr>
  </w:style>
  <w:style w:type="paragraph" w:styleId="832">
    <w:name w:val="Heading 4"/>
    <w:basedOn w:val="1004"/>
    <w:next w:val="1004"/>
    <w:link w:val="83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33">
    <w:name w:val="Heading 4 Char"/>
    <w:link w:val="832"/>
    <w:uiPriority w:val="9"/>
    <w:rPr>
      <w:rFonts w:ascii="Arial" w:hAnsi="Arial" w:eastAsia="Arial" w:cs="Arial"/>
      <w:b/>
      <w:bCs/>
      <w:sz w:val="26"/>
      <w:szCs w:val="26"/>
    </w:rPr>
  </w:style>
  <w:style w:type="paragraph" w:styleId="834">
    <w:name w:val="Heading 5"/>
    <w:basedOn w:val="1004"/>
    <w:next w:val="1004"/>
    <w:link w:val="83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835">
    <w:name w:val="Heading 5 Char"/>
    <w:link w:val="834"/>
    <w:uiPriority w:val="9"/>
    <w:rPr>
      <w:rFonts w:ascii="Arial" w:hAnsi="Arial" w:eastAsia="Arial" w:cs="Arial"/>
      <w:b/>
      <w:bCs/>
      <w:sz w:val="24"/>
      <w:szCs w:val="24"/>
    </w:rPr>
  </w:style>
  <w:style w:type="paragraph" w:styleId="836">
    <w:name w:val="Heading 6"/>
    <w:basedOn w:val="1004"/>
    <w:next w:val="1004"/>
    <w:link w:val="83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37">
    <w:name w:val="Heading 6 Char"/>
    <w:link w:val="836"/>
    <w:uiPriority w:val="9"/>
    <w:rPr>
      <w:rFonts w:ascii="Arial" w:hAnsi="Arial" w:eastAsia="Arial" w:cs="Arial"/>
      <w:b/>
      <w:bCs/>
      <w:sz w:val="22"/>
      <w:szCs w:val="22"/>
    </w:rPr>
  </w:style>
  <w:style w:type="paragraph" w:styleId="838">
    <w:name w:val="Heading 7"/>
    <w:basedOn w:val="1004"/>
    <w:next w:val="1004"/>
    <w:link w:val="83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39">
    <w:name w:val="Heading 7 Char"/>
    <w:link w:val="83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840">
    <w:name w:val="Heading 8"/>
    <w:basedOn w:val="1004"/>
    <w:next w:val="1004"/>
    <w:link w:val="84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41">
    <w:name w:val="Heading 8 Char"/>
    <w:link w:val="840"/>
    <w:uiPriority w:val="9"/>
    <w:rPr>
      <w:rFonts w:ascii="Arial" w:hAnsi="Arial" w:eastAsia="Arial" w:cs="Arial"/>
      <w:i/>
      <w:iCs/>
      <w:sz w:val="22"/>
      <w:szCs w:val="22"/>
    </w:rPr>
  </w:style>
  <w:style w:type="paragraph" w:styleId="842">
    <w:name w:val="Heading 9"/>
    <w:basedOn w:val="1004"/>
    <w:next w:val="1004"/>
    <w:link w:val="84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43">
    <w:name w:val="Heading 9 Char"/>
    <w:link w:val="842"/>
    <w:uiPriority w:val="9"/>
    <w:rPr>
      <w:rFonts w:ascii="Arial" w:hAnsi="Arial" w:eastAsia="Arial" w:cs="Arial"/>
      <w:i/>
      <w:iCs/>
      <w:sz w:val="21"/>
      <w:szCs w:val="21"/>
    </w:rPr>
  </w:style>
  <w:style w:type="paragraph" w:styleId="844">
    <w:name w:val="List Paragraph"/>
    <w:basedOn w:val="1004"/>
    <w:uiPriority w:val="34"/>
    <w:qFormat/>
    <w:pPr>
      <w:contextualSpacing/>
      <w:ind w:left="720"/>
    </w:pPr>
  </w:style>
  <w:style w:type="paragraph" w:styleId="845">
    <w:name w:val="No Spacing"/>
    <w:uiPriority w:val="1"/>
    <w:qFormat/>
    <w:pPr>
      <w:spacing w:before="0" w:after="0" w:line="240" w:lineRule="auto"/>
    </w:pPr>
  </w:style>
  <w:style w:type="paragraph" w:styleId="846">
    <w:name w:val="Title"/>
    <w:basedOn w:val="1004"/>
    <w:next w:val="1004"/>
    <w:link w:val="84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47">
    <w:name w:val="Title Char"/>
    <w:link w:val="846"/>
    <w:uiPriority w:val="10"/>
    <w:rPr>
      <w:sz w:val="48"/>
      <w:szCs w:val="48"/>
    </w:rPr>
  </w:style>
  <w:style w:type="paragraph" w:styleId="848">
    <w:name w:val="Subtitle"/>
    <w:basedOn w:val="1004"/>
    <w:next w:val="1004"/>
    <w:link w:val="849"/>
    <w:uiPriority w:val="11"/>
    <w:qFormat/>
    <w:pPr>
      <w:spacing w:before="200" w:after="200"/>
    </w:pPr>
    <w:rPr>
      <w:sz w:val="24"/>
      <w:szCs w:val="24"/>
    </w:rPr>
  </w:style>
  <w:style w:type="character" w:styleId="849">
    <w:name w:val="Subtitle Char"/>
    <w:link w:val="848"/>
    <w:uiPriority w:val="11"/>
    <w:rPr>
      <w:sz w:val="24"/>
      <w:szCs w:val="24"/>
    </w:rPr>
  </w:style>
  <w:style w:type="paragraph" w:styleId="850">
    <w:name w:val="Quote"/>
    <w:basedOn w:val="1004"/>
    <w:next w:val="1004"/>
    <w:link w:val="851"/>
    <w:uiPriority w:val="29"/>
    <w:qFormat/>
    <w:pPr>
      <w:ind w:left="720" w:right="720"/>
    </w:pPr>
    <w:rPr>
      <w:i/>
    </w:rPr>
  </w:style>
  <w:style w:type="character" w:styleId="851">
    <w:name w:val="Quote Char"/>
    <w:link w:val="850"/>
    <w:uiPriority w:val="29"/>
    <w:rPr>
      <w:i/>
    </w:rPr>
  </w:style>
  <w:style w:type="paragraph" w:styleId="852">
    <w:name w:val="Intense Quote"/>
    <w:basedOn w:val="1004"/>
    <w:next w:val="1004"/>
    <w:link w:val="85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53">
    <w:name w:val="Intense Quote Char"/>
    <w:link w:val="852"/>
    <w:uiPriority w:val="30"/>
    <w:rPr>
      <w:i/>
    </w:rPr>
  </w:style>
  <w:style w:type="paragraph" w:styleId="854">
    <w:name w:val="Header"/>
    <w:basedOn w:val="1004"/>
    <w:link w:val="85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55">
    <w:name w:val="Header Char"/>
    <w:link w:val="854"/>
    <w:uiPriority w:val="99"/>
  </w:style>
  <w:style w:type="paragraph" w:styleId="856">
    <w:name w:val="Footer"/>
    <w:basedOn w:val="1004"/>
    <w:link w:val="85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57">
    <w:name w:val="Footer Char"/>
    <w:link w:val="856"/>
    <w:uiPriority w:val="99"/>
  </w:style>
  <w:style w:type="paragraph" w:styleId="858">
    <w:name w:val="Caption"/>
    <w:basedOn w:val="1004"/>
    <w:next w:val="100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59">
    <w:name w:val="Caption Char"/>
    <w:basedOn w:val="858"/>
    <w:link w:val="856"/>
    <w:uiPriority w:val="99"/>
  </w:style>
  <w:style w:type="table" w:styleId="860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61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62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63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64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65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67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89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90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91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92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93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94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95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96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97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98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99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900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01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2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03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4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05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06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07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08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09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0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1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2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3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4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5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6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7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8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9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0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2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3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924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925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926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927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928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929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930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1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2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3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4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5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6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7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8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9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0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1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2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3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4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45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46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47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48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49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50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51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52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53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54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55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56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57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58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59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960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961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962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963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964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965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66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67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68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69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70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71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72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73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74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75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76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77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78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79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80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81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82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83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84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85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86">
    <w:name w:val="Hyperlink"/>
    <w:uiPriority w:val="99"/>
    <w:unhideWhenUsed/>
    <w:rPr>
      <w:color w:val="0000ff" w:themeColor="hyperlink"/>
      <w:u w:val="single"/>
    </w:rPr>
  </w:style>
  <w:style w:type="paragraph" w:styleId="987">
    <w:name w:val="footnote text"/>
    <w:basedOn w:val="1004"/>
    <w:link w:val="988"/>
    <w:uiPriority w:val="99"/>
    <w:semiHidden/>
    <w:unhideWhenUsed/>
    <w:pPr>
      <w:spacing w:after="40" w:line="240" w:lineRule="auto"/>
    </w:pPr>
    <w:rPr>
      <w:sz w:val="18"/>
    </w:rPr>
  </w:style>
  <w:style w:type="character" w:styleId="988">
    <w:name w:val="Footnote Text Char"/>
    <w:link w:val="987"/>
    <w:uiPriority w:val="99"/>
    <w:rPr>
      <w:sz w:val="18"/>
    </w:rPr>
  </w:style>
  <w:style w:type="character" w:styleId="989">
    <w:name w:val="footnote reference"/>
    <w:uiPriority w:val="99"/>
    <w:unhideWhenUsed/>
    <w:rPr>
      <w:vertAlign w:val="superscript"/>
    </w:rPr>
  </w:style>
  <w:style w:type="paragraph" w:styleId="990">
    <w:name w:val="endnote text"/>
    <w:basedOn w:val="1004"/>
    <w:link w:val="991"/>
    <w:uiPriority w:val="99"/>
    <w:semiHidden/>
    <w:unhideWhenUsed/>
    <w:pPr>
      <w:spacing w:after="0" w:line="240" w:lineRule="auto"/>
    </w:pPr>
    <w:rPr>
      <w:sz w:val="20"/>
    </w:rPr>
  </w:style>
  <w:style w:type="character" w:styleId="991">
    <w:name w:val="Endnote Text Char"/>
    <w:link w:val="990"/>
    <w:uiPriority w:val="99"/>
    <w:rPr>
      <w:sz w:val="20"/>
    </w:rPr>
  </w:style>
  <w:style w:type="character" w:styleId="992">
    <w:name w:val="endnote reference"/>
    <w:uiPriority w:val="99"/>
    <w:semiHidden/>
    <w:unhideWhenUsed/>
    <w:rPr>
      <w:vertAlign w:val="superscript"/>
    </w:rPr>
  </w:style>
  <w:style w:type="paragraph" w:styleId="993">
    <w:name w:val="toc 1"/>
    <w:basedOn w:val="1004"/>
    <w:next w:val="1004"/>
    <w:uiPriority w:val="39"/>
    <w:unhideWhenUsed/>
    <w:pPr>
      <w:ind w:left="0" w:right="0" w:firstLine="0"/>
      <w:spacing w:after="57"/>
    </w:pPr>
  </w:style>
  <w:style w:type="paragraph" w:styleId="994">
    <w:name w:val="toc 2"/>
    <w:basedOn w:val="1004"/>
    <w:next w:val="1004"/>
    <w:uiPriority w:val="39"/>
    <w:unhideWhenUsed/>
    <w:pPr>
      <w:ind w:left="283" w:right="0" w:firstLine="0"/>
      <w:spacing w:after="57"/>
    </w:pPr>
  </w:style>
  <w:style w:type="paragraph" w:styleId="995">
    <w:name w:val="toc 3"/>
    <w:basedOn w:val="1004"/>
    <w:next w:val="1004"/>
    <w:uiPriority w:val="39"/>
    <w:unhideWhenUsed/>
    <w:pPr>
      <w:ind w:left="567" w:right="0" w:firstLine="0"/>
      <w:spacing w:after="57"/>
    </w:pPr>
  </w:style>
  <w:style w:type="paragraph" w:styleId="996">
    <w:name w:val="toc 4"/>
    <w:basedOn w:val="1004"/>
    <w:next w:val="1004"/>
    <w:uiPriority w:val="39"/>
    <w:unhideWhenUsed/>
    <w:pPr>
      <w:ind w:left="850" w:right="0" w:firstLine="0"/>
      <w:spacing w:after="57"/>
    </w:pPr>
  </w:style>
  <w:style w:type="paragraph" w:styleId="997">
    <w:name w:val="toc 5"/>
    <w:basedOn w:val="1004"/>
    <w:next w:val="1004"/>
    <w:uiPriority w:val="39"/>
    <w:unhideWhenUsed/>
    <w:pPr>
      <w:ind w:left="1134" w:right="0" w:firstLine="0"/>
      <w:spacing w:after="57"/>
    </w:pPr>
  </w:style>
  <w:style w:type="paragraph" w:styleId="998">
    <w:name w:val="toc 6"/>
    <w:basedOn w:val="1004"/>
    <w:next w:val="1004"/>
    <w:uiPriority w:val="39"/>
    <w:unhideWhenUsed/>
    <w:pPr>
      <w:ind w:left="1417" w:right="0" w:firstLine="0"/>
      <w:spacing w:after="57"/>
    </w:pPr>
  </w:style>
  <w:style w:type="paragraph" w:styleId="999">
    <w:name w:val="toc 7"/>
    <w:basedOn w:val="1004"/>
    <w:next w:val="1004"/>
    <w:uiPriority w:val="39"/>
    <w:unhideWhenUsed/>
    <w:pPr>
      <w:ind w:left="1701" w:right="0" w:firstLine="0"/>
      <w:spacing w:after="57"/>
    </w:pPr>
  </w:style>
  <w:style w:type="paragraph" w:styleId="1000">
    <w:name w:val="toc 8"/>
    <w:basedOn w:val="1004"/>
    <w:next w:val="1004"/>
    <w:uiPriority w:val="39"/>
    <w:unhideWhenUsed/>
    <w:pPr>
      <w:ind w:left="1984" w:right="0" w:firstLine="0"/>
      <w:spacing w:after="57"/>
    </w:pPr>
  </w:style>
  <w:style w:type="paragraph" w:styleId="1001">
    <w:name w:val="toc 9"/>
    <w:basedOn w:val="1004"/>
    <w:next w:val="1004"/>
    <w:uiPriority w:val="39"/>
    <w:unhideWhenUsed/>
    <w:pPr>
      <w:ind w:left="2268" w:right="0" w:firstLine="0"/>
      <w:spacing w:after="57"/>
    </w:pPr>
  </w:style>
  <w:style w:type="paragraph" w:styleId="1002">
    <w:name w:val="TOC Heading"/>
    <w:uiPriority w:val="39"/>
    <w:unhideWhenUsed/>
  </w:style>
  <w:style w:type="paragraph" w:styleId="1003">
    <w:name w:val="table of figures"/>
    <w:basedOn w:val="1004"/>
    <w:next w:val="1004"/>
    <w:uiPriority w:val="99"/>
    <w:unhideWhenUsed/>
    <w:pPr>
      <w:spacing w:after="0" w:afterAutospacing="0"/>
    </w:pPr>
  </w:style>
  <w:style w:type="paragraph" w:styleId="1004" w:default="1">
    <w:name w:val="Normal"/>
    <w:next w:val="1004"/>
    <w:link w:val="1004"/>
    <w:qFormat/>
    <w:rPr>
      <w:sz w:val="24"/>
      <w:szCs w:val="24"/>
      <w:lang w:val="ru-RU" w:eastAsia="ru-RU" w:bidi="ar-SA"/>
    </w:rPr>
  </w:style>
  <w:style w:type="paragraph" w:styleId="1005">
    <w:name w:val="Заголовок 1,Заголовок параграфа (1.),111,Section,Section Heading,level2 hdg,Заголовок 1 Знак Знак Знак Знак Знак,Заголовок 1 Знак Знак Знак Знак Знак Знак Знак Знак,Заголовок 1 Знак Знак Знак Знак Знак Знак Знак,Document Header1,H1,Отчет ГОСТ Заг1,H11,H"/>
    <w:basedOn w:val="1004"/>
    <w:next w:val="1004"/>
    <w:link w:val="1004"/>
    <w:uiPriority w:val="99"/>
    <w:qFormat/>
    <w:pPr>
      <w:jc w:val="both"/>
      <w:keepNext/>
      <w:outlineLvl w:val="0"/>
    </w:pPr>
    <w:rPr>
      <w:sz w:val="28"/>
      <w:szCs w:val="28"/>
    </w:rPr>
  </w:style>
  <w:style w:type="paragraph" w:styleId="1006">
    <w:name w:val="Заголовок 2,h2,h21,5,Заголовок пункта (1.1),222,Reset numbering,H2,H2 Знак,Заголовок 21,Numbered text 3,21,22,23,24,25,211,221,231,26,212,232,27,213,223,233,28,214,224,234,241,251,2111,2211,2311,261,2121,2221,2321,271,2131,2231,2331,H21,2,H22,H211,H23"/>
    <w:basedOn w:val="1004"/>
    <w:next w:val="1004"/>
    <w:link w:val="1028"/>
    <w:uiPriority w:val="99"/>
    <w:qFormat/>
    <w:pPr>
      <w:ind w:left="1134" w:hanging="1134"/>
      <w:keepNext/>
      <w:spacing w:before="360" w:after="120"/>
      <w:tabs>
        <w:tab w:val="num" w:pos="1134" w:leader="none"/>
      </w:tabs>
      <w:outlineLvl w:val="1"/>
    </w:pPr>
    <w:rPr>
      <w:b/>
      <w:sz w:val="32"/>
      <w:szCs w:val="20"/>
      <w:lang w:val="en-US" w:eastAsia="en-US"/>
    </w:rPr>
  </w:style>
  <w:style w:type="character" w:styleId="1007">
    <w:name w:val="Основной шрифт абзаца"/>
    <w:next w:val="1007"/>
    <w:link w:val="1004"/>
    <w:semiHidden/>
  </w:style>
  <w:style w:type="table" w:styleId="1008">
    <w:name w:val="Обычная таблица"/>
    <w:next w:val="1008"/>
    <w:link w:val="1004"/>
    <w:semiHidden/>
    <w:tblPr/>
  </w:style>
  <w:style w:type="numbering" w:styleId="1009">
    <w:name w:val="Нет списка"/>
    <w:next w:val="1009"/>
    <w:link w:val="1004"/>
    <w:semiHidden/>
  </w:style>
  <w:style w:type="paragraph" w:styleId="1010">
    <w:name w:val="Default Paragraph Font Para Char Char Знак"/>
    <w:basedOn w:val="1004"/>
    <w:next w:val="1010"/>
    <w:link w:val="100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1011">
    <w:name w:val="Верхний колонтитул"/>
    <w:basedOn w:val="1004"/>
    <w:next w:val="1011"/>
    <w:link w:val="1004"/>
    <w:pPr>
      <w:tabs>
        <w:tab w:val="center" w:pos="4677" w:leader="none"/>
        <w:tab w:val="right" w:pos="9355" w:leader="none"/>
      </w:tabs>
    </w:pPr>
  </w:style>
  <w:style w:type="character" w:styleId="1012">
    <w:name w:val="Номер страницы"/>
    <w:basedOn w:val="1007"/>
    <w:next w:val="1012"/>
    <w:link w:val="1004"/>
  </w:style>
  <w:style w:type="paragraph" w:styleId="1013">
    <w:name w:val="Таблица шапка"/>
    <w:basedOn w:val="1004"/>
    <w:next w:val="1013"/>
    <w:link w:val="1004"/>
    <w:pPr>
      <w:ind w:left="57" w:right="57"/>
      <w:keepNext/>
      <w:spacing w:before="40" w:after="40"/>
    </w:pPr>
    <w:rPr>
      <w:sz w:val="22"/>
      <w:szCs w:val="20"/>
    </w:rPr>
  </w:style>
  <w:style w:type="paragraph" w:styleId="1014">
    <w:name w:val="Таблица текст"/>
    <w:basedOn w:val="1004"/>
    <w:next w:val="1014"/>
    <w:link w:val="1004"/>
    <w:pPr>
      <w:ind w:left="57" w:right="57"/>
      <w:spacing w:before="40" w:after="40"/>
    </w:pPr>
    <w:rPr>
      <w:szCs w:val="20"/>
    </w:rPr>
  </w:style>
  <w:style w:type="character" w:styleId="1015">
    <w:name w:val="комментарий"/>
    <w:next w:val="1015"/>
    <w:link w:val="1004"/>
    <w:rPr>
      <w:b/>
      <w:i/>
      <w:shd w:val="clear" w:color="auto" w:fill="ffff99"/>
    </w:rPr>
  </w:style>
  <w:style w:type="paragraph" w:styleId="1016">
    <w:name w:val="Схема документа"/>
    <w:basedOn w:val="1004"/>
    <w:next w:val="1016"/>
    <w:link w:val="1004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1017">
    <w:name w:val="Текст выноски"/>
    <w:basedOn w:val="1004"/>
    <w:next w:val="1017"/>
    <w:link w:val="1004"/>
    <w:semiHidden/>
    <w:rPr>
      <w:rFonts w:ascii="Tahoma" w:hAnsi="Tahoma" w:cs="Tahoma"/>
      <w:sz w:val="16"/>
      <w:szCs w:val="16"/>
    </w:rPr>
  </w:style>
  <w:style w:type="table" w:styleId="1018">
    <w:name w:val="Сетка таблицы"/>
    <w:basedOn w:val="1008"/>
    <w:next w:val="1018"/>
    <w:link w:val="1004"/>
    <w:pPr>
      <w:ind w:firstLine="567"/>
      <w:jc w:val="both"/>
      <w:spacing w:line="360" w:lineRule="auto"/>
    </w:pPr>
    <w:tblPr/>
  </w:style>
  <w:style w:type="paragraph" w:styleId="1019">
    <w:name w:val="Нижний колонтитул"/>
    <w:basedOn w:val="1004"/>
    <w:next w:val="1019"/>
    <w:link w:val="1022"/>
    <w:uiPriority w:val="99"/>
    <w:pPr>
      <w:tabs>
        <w:tab w:val="center" w:pos="4677" w:leader="none"/>
        <w:tab w:val="right" w:pos="9355" w:leader="none"/>
      </w:tabs>
    </w:pPr>
    <w:rPr>
      <w:lang w:val="en-US" w:eastAsia="en-US"/>
    </w:rPr>
  </w:style>
  <w:style w:type="character" w:styleId="1020">
    <w:name w:val="Комментраий Знак"/>
    <w:next w:val="1020"/>
    <w:link w:val="1004"/>
    <w:rPr>
      <w:i/>
      <w:color w:val="3366ff"/>
      <w:sz w:val="28"/>
      <w:szCs w:val="28"/>
      <w:lang w:val="ru-RU" w:eastAsia="ru-RU" w:bidi="ar-SA"/>
    </w:rPr>
  </w:style>
  <w:style w:type="table" w:styleId="1021">
    <w:name w:val="Сетка таблицы1"/>
    <w:basedOn w:val="1008"/>
    <w:next w:val="1018"/>
    <w:link w:val="1004"/>
    <w:tblPr/>
  </w:style>
  <w:style w:type="character" w:styleId="1022">
    <w:name w:val="Нижний колонтитул Знак"/>
    <w:next w:val="1022"/>
    <w:link w:val="1019"/>
    <w:uiPriority w:val="99"/>
    <w:rPr>
      <w:sz w:val="24"/>
      <w:szCs w:val="24"/>
    </w:rPr>
  </w:style>
  <w:style w:type="paragraph" w:styleId="1023">
    <w:name w:val="Обычный (веб)"/>
    <w:basedOn w:val="1004"/>
    <w:next w:val="1023"/>
    <w:link w:val="1004"/>
    <w:uiPriority w:val="99"/>
    <w:unhideWhenUsed/>
    <w:pPr>
      <w:spacing w:before="100" w:beforeAutospacing="1" w:after="100" w:afterAutospacing="1"/>
    </w:pPr>
    <w:rPr>
      <w:rFonts w:ascii="Arial" w:hAnsi="Arial" w:cs="Arial"/>
      <w:color w:val="283555"/>
      <w:sz w:val="20"/>
      <w:szCs w:val="20"/>
    </w:rPr>
  </w:style>
  <w:style w:type="paragraph" w:styleId="1024">
    <w:name w:val="Подподпункт"/>
    <w:basedOn w:val="1004"/>
    <w:next w:val="1024"/>
    <w:link w:val="1025"/>
    <w:pPr>
      <w:numPr>
        <w:ilvl w:val="0"/>
        <w:numId w:val="22"/>
      </w:numPr>
      <w:ind w:left="927" w:hanging="360"/>
      <w:jc w:val="both"/>
      <w:spacing w:line="360" w:lineRule="auto"/>
      <w:tabs>
        <w:tab w:val="num" w:pos="927" w:leader="none"/>
        <w:tab w:val="clear" w:pos="1134" w:leader="none"/>
      </w:tabs>
    </w:pPr>
    <w:rPr>
      <w:sz w:val="28"/>
      <w:szCs w:val="20"/>
      <w:lang w:val="en-US" w:eastAsia="en-US"/>
    </w:rPr>
  </w:style>
  <w:style w:type="character" w:styleId="1025">
    <w:name w:val="Подподпункт Знак"/>
    <w:next w:val="1025"/>
    <w:link w:val="1024"/>
    <w:rPr>
      <w:sz w:val="28"/>
    </w:rPr>
  </w:style>
  <w:style w:type="paragraph" w:styleId="1026">
    <w:name w:val="Абзац списка"/>
    <w:basedOn w:val="1004"/>
    <w:next w:val="1026"/>
    <w:link w:val="1004"/>
    <w:uiPriority w:val="34"/>
    <w:qFormat/>
    <w:pPr>
      <w:contextualSpacing/>
      <w:ind w:left="720"/>
      <w:widowControl w:val="off"/>
    </w:pPr>
  </w:style>
  <w:style w:type="character" w:styleId="1027">
    <w:name w:val="Font Style128"/>
    <w:next w:val="1027"/>
    <w:link w:val="1004"/>
    <w:rPr>
      <w:rFonts w:ascii="Times New Roman" w:hAnsi="Times New Roman" w:cs="Times New Roman"/>
      <w:color w:val="000000"/>
      <w:sz w:val="26"/>
      <w:szCs w:val="26"/>
    </w:rPr>
  </w:style>
  <w:style w:type="character" w:styleId="1028">
    <w:name w:val="Заголовок 2 Знак"/>
    <w:next w:val="1028"/>
    <w:link w:val="1006"/>
    <w:uiPriority w:val="99"/>
    <w:rPr>
      <w:b/>
      <w:sz w:val="32"/>
    </w:rPr>
  </w:style>
  <w:style w:type="paragraph" w:styleId="1029">
    <w:name w:val="Пункт"/>
    <w:basedOn w:val="1004"/>
    <w:next w:val="1029"/>
    <w:link w:val="1004"/>
    <w:uiPriority w:val="99"/>
    <w:pPr>
      <w:ind w:left="1134" w:hanging="1134"/>
      <w:jc w:val="both"/>
      <w:spacing w:line="360" w:lineRule="auto"/>
      <w:tabs>
        <w:tab w:val="num" w:pos="1134" w:leader="none"/>
      </w:tabs>
    </w:pPr>
    <w:rPr>
      <w:sz w:val="28"/>
      <w:szCs w:val="20"/>
    </w:rPr>
  </w:style>
  <w:style w:type="paragraph" w:styleId="1030">
    <w:name w:val="Основной текст с отступом"/>
    <w:basedOn w:val="1004"/>
    <w:next w:val="1030"/>
    <w:link w:val="1031"/>
    <w:pPr>
      <w:ind w:left="-720"/>
      <w:jc w:val="both"/>
    </w:pPr>
    <w:rPr>
      <w:lang w:val="en-US" w:eastAsia="en-US"/>
    </w:rPr>
  </w:style>
  <w:style w:type="character" w:styleId="1031">
    <w:name w:val="Основной текст с отступом Знак"/>
    <w:next w:val="1031"/>
    <w:link w:val="1030"/>
    <w:rPr>
      <w:sz w:val="24"/>
      <w:szCs w:val="24"/>
    </w:rPr>
  </w:style>
  <w:style w:type="paragraph" w:styleId="1032">
    <w:name w:val="Нумерованный список"/>
    <w:basedOn w:val="1033"/>
    <w:next w:val="1032"/>
    <w:link w:val="1004"/>
    <w:pPr>
      <w:jc w:val="both"/>
      <w:spacing w:before="60" w:after="0" w:line="360" w:lineRule="auto"/>
      <w:tabs>
        <w:tab w:val="num" w:pos="360" w:leader="none"/>
      </w:tabs>
    </w:pPr>
    <w:rPr>
      <w:sz w:val="28"/>
    </w:rPr>
  </w:style>
  <w:style w:type="paragraph" w:styleId="1033">
    <w:name w:val="Основной текст"/>
    <w:basedOn w:val="1004"/>
    <w:next w:val="1033"/>
    <w:link w:val="1034"/>
    <w:pPr>
      <w:spacing w:after="120"/>
    </w:pPr>
    <w:rPr>
      <w:lang w:val="en-US" w:eastAsia="en-US"/>
    </w:rPr>
  </w:style>
  <w:style w:type="character" w:styleId="1034">
    <w:name w:val="Основной текст Знак"/>
    <w:next w:val="1034"/>
    <w:link w:val="1033"/>
    <w:rPr>
      <w:sz w:val="24"/>
      <w:szCs w:val="24"/>
    </w:rPr>
  </w:style>
  <w:style w:type="character" w:styleId="1035">
    <w:name w:val="Знак примечания"/>
    <w:next w:val="1035"/>
    <w:link w:val="1004"/>
    <w:rPr>
      <w:sz w:val="16"/>
      <w:szCs w:val="16"/>
    </w:rPr>
  </w:style>
  <w:style w:type="paragraph" w:styleId="1036">
    <w:name w:val="Текст примечания"/>
    <w:basedOn w:val="1004"/>
    <w:next w:val="1036"/>
    <w:link w:val="1037"/>
    <w:rPr>
      <w:sz w:val="20"/>
      <w:szCs w:val="20"/>
    </w:rPr>
  </w:style>
  <w:style w:type="character" w:styleId="1037">
    <w:name w:val="Текст примечания Знак"/>
    <w:basedOn w:val="1007"/>
    <w:next w:val="1037"/>
    <w:link w:val="1036"/>
  </w:style>
  <w:style w:type="paragraph" w:styleId="1038">
    <w:name w:val="Тема примечания"/>
    <w:basedOn w:val="1036"/>
    <w:next w:val="1036"/>
    <w:link w:val="1039"/>
    <w:rPr>
      <w:b/>
      <w:bCs/>
      <w:lang w:val="en-US" w:eastAsia="en-US"/>
    </w:rPr>
  </w:style>
  <w:style w:type="character" w:styleId="1039">
    <w:name w:val="Тема примечания Знак"/>
    <w:next w:val="1039"/>
    <w:link w:val="1038"/>
    <w:rPr>
      <w:b/>
      <w:bCs/>
    </w:rPr>
  </w:style>
  <w:style w:type="character" w:styleId="1040" w:default="1">
    <w:name w:val="Default Paragraph Font"/>
    <w:uiPriority w:val="1"/>
    <w:semiHidden/>
    <w:unhideWhenUsed/>
  </w:style>
  <w:style w:type="numbering" w:styleId="1041" w:default="1">
    <w:name w:val="No List"/>
    <w:uiPriority w:val="99"/>
    <w:semiHidden/>
    <w:unhideWhenUsed/>
  </w:style>
  <w:style w:type="table" w:styleId="1042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5</cp:revision>
  <dcterms:created xsi:type="dcterms:W3CDTF">2016-12-08T08:43:00Z</dcterms:created>
  <dcterms:modified xsi:type="dcterms:W3CDTF">2025-03-03T07:42:15Z</dcterms:modified>
  <cp:version>1048576</cp:version>
</cp:coreProperties>
</file>