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messagecaption"/>
        <w:rPr/>
      </w:pPr>
      <w:r>
        <w:rPr/>
        <w:t>ПРОТОКОЛ РАССМОТРЕНИЯ ЕДИНСТВЕННОЙ ЗАЯВКИ НА УЧАСТИЕ В ЗАПРОСЕ КОТИРОВОК  В ЭЛЕКТРОННОЙ ФОРМЕ</w:t>
      </w:r>
    </w:p>
    <w:p>
      <w:pPr>
        <w:pStyle w:val="centered"/>
        <w:rPr>
          <w:b/>
        </w:rPr>
      </w:pPr>
      <w:r>
        <w:rPr>
          <w:b/>
        </w:rPr>
        <w:t>(в редакции № 1)</w:t>
      </w:r>
    </w:p>
    <w:p>
      <w:pPr>
        <w:pStyle w:val="messagesubcaption"/>
        <w:rPr/>
      </w:pPr>
      <w:r>
        <w:rPr/>
        <w:t>                                                                                          </w:t>
      </w:r>
      <w:r>
        <w:rPr/>
        <w:t>15 декабря 2025 года</w:t>
      </w:r>
    </w:p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Номер процедуры:</w:t>
      </w:r>
      <w:r>
        <w:rPr>
          <w:b w:val="false"/>
        </w:rPr>
        <w:t xml:space="preserve"> 0188625021DP</w:t>
      </w:r>
    </w:p>
    <w:p>
      <w:pPr>
        <w:pStyle w:val="variable"/>
        <w:rPr/>
      </w:pPr>
      <w:r>
        <w:rPr/>
        <w:t>Реестровый номер (ЕИС):</w:t>
      </w:r>
      <w:r>
        <w:rPr>
          <w:b w:val="false"/>
        </w:rPr>
        <w:t xml:space="preserve"> 32515492723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I. Общие положения</w:t>
      </w:r>
    </w:p>
    <w:p>
      <w:pPr>
        <w:pStyle w:val="variable"/>
        <w:rPr/>
      </w:pPr>
      <w:r>
        <w:rPr/>
        <w:t>Способ закупки:</w:t>
      </w:r>
      <w:r>
        <w:rPr>
          <w:b w:val="false"/>
        </w:rPr>
        <w:t xml:space="preserve"> Запрос котировок в электронной форме.</w:t>
      </w:r>
    </w:p>
    <w:p>
      <w:pPr>
        <w:pStyle w:val="variable"/>
        <w:rPr/>
      </w:pPr>
      <w:r>
        <w:rPr/>
        <w:t>Сведения об организаторе:</w:t>
      </w:r>
      <w:r>
        <w:rPr>
          <w:b w:val="false"/>
        </w:rPr>
        <w:t xml:space="preserve"> ГОСУДАРСТВЕННОЕ АВТОНОМНОЕ ПРОФЕССИОНАЛЬНОЕ ОБРАЗОВАТЕЛЬНОЕ УЧРЕЖДЕНИЕ СВЕРДЛОВСКОЙ ОБЛАСТИ "УРАЛЬСКИЙ КОЛЛЕДЖ ТЕХНОЛОГИЙ И ПРЕДПРИНИМАТЕЛЬСТВА" (ИНН: 6664030878, КПП: 667901001, ОГРН: 1036605192458).</w:t>
      </w:r>
    </w:p>
    <w:p>
      <w:pPr>
        <w:pStyle w:val="text"/>
        <w:rPr/>
      </w:pPr>
      <w:r>
        <w:rPr/>
        <w:t>Место нахождения: 620103, Свердловская обл, г Екатеринбург, р-н Чкаловский, ул Умельцев, дом 5.</w:t>
      </w:r>
    </w:p>
    <w:p>
      <w:pPr>
        <w:pStyle w:val="text"/>
        <w:rPr/>
      </w:pPr>
      <w:r>
        <w:rPr/>
        <w:t>Почтовый адрес: 620103, Свердловская обл, г Екатеринбург, р-н Чкаловский, ул Умельцев, дом 5.</w:t>
      </w:r>
    </w:p>
    <w:p>
      <w:pPr>
        <w:pStyle w:val="variable"/>
        <w:rPr/>
      </w:pPr>
      <w:r>
        <w:rPr/>
        <w:t>Сведения о заказчике:</w:t>
      </w:r>
      <w:r>
        <w:rPr>
          <w:b w:val="false"/>
        </w:rPr>
        <w:t xml:space="preserve"> ГОСУДАРСТВЕННОЕ АВТОНОМНОЕ ПРОФЕССИОНАЛЬНОЕ ОБРАЗОВАТЕЛЬНОЕ УЧРЕЖДЕНИЕ СВЕРДЛОВСКОЙ ОБЛАСТИ "УРАЛЬСКИЙ КОЛЛЕДЖ ТЕХНОЛОГИЙ И ПРЕДПРИНИМАТЕЛЬСТВА" (ИНН: 6664030878, КПП: 667901001, ОГРН: 1036605192458).</w:t>
      </w:r>
    </w:p>
    <w:p>
      <w:pPr>
        <w:pStyle w:val="text"/>
        <w:rPr/>
      </w:pPr>
      <w:r>
        <w:rPr/>
        <w:t>Место нахождения: 620103, Свердловская обл, г Екатеринбург, р-н Чкаловский, ул Умельцев, дом 5.</w:t>
      </w:r>
    </w:p>
    <w:p>
      <w:pPr>
        <w:pStyle w:val="text"/>
        <w:rPr/>
      </w:pPr>
      <w:r>
        <w:rPr/>
        <w:t>Почтовый адрес: 620103, Свердловская обл, г Екатеринбург, р-н Чкаловский, ул Умельцев, дом 5.</w:t>
      </w:r>
    </w:p>
    <w:p>
      <w:pPr>
        <w:pStyle w:val="variable"/>
        <w:rPr/>
      </w:pPr>
      <w:r>
        <w:rPr/>
        <w:t>Контактная информация:</w:t>
      </w:r>
      <w:r>
        <w:rPr>
          <w:b w:val="false"/>
        </w:rPr>
        <w:t xml:space="preserve"> Доронин Н. А., тел.: 83432569624, e-mail: mail@uktp.ru</w:t>
      </w:r>
    </w:p>
    <w:p>
      <w:pPr>
        <w:pStyle w:val="variable"/>
        <w:rPr/>
      </w:pPr>
      <w:r>
        <w:rPr/>
        <w:t>Сведения об операторе электронной площадки:</w:t>
      </w:r>
      <w:r>
        <w:rPr>
          <w:b w:val="false"/>
        </w:rPr>
        <w:t xml:space="preserve"> ООО «ТОРГИ-ОНЛАЙН» (ИНН: 0276944133, КПП: 027601001, ОГРН: 1190280048419).</w:t>
      </w:r>
    </w:p>
    <w:p>
      <w:pPr>
        <w:pStyle w:val="text"/>
        <w:rPr/>
      </w:pPr>
      <w:r>
        <w:rPr/>
        <w:t>Юридический адрес: 450022 г. Уфа, улица Менделеева, 134/7</w:t>
      </w:r>
    </w:p>
    <w:p>
      <w:pPr>
        <w:pStyle w:val="text"/>
        <w:rPr/>
      </w:pPr>
      <w:r>
        <w:rPr/>
        <w:t>Почтовый адрес: 450022 г. Уфа, улица Менделеева, 134/7 офис 424</w:t>
      </w:r>
    </w:p>
    <w:p>
      <w:pPr>
        <w:pStyle w:val="text"/>
        <w:rPr/>
      </w:pPr>
      <w:r>
        <w:rPr/>
        <w:t>Техническая поддержка: тел.: 8 (800) 250-15-35, эл. почта: info@torgi-online.com</w:t>
      </w:r>
    </w:p>
    <w:p>
      <w:pPr>
        <w:pStyle w:val="variable"/>
        <w:rPr/>
      </w:pPr>
      <w:r>
        <w:rPr/>
        <w:t>Наименование закупки:</w:t>
      </w:r>
      <w:r>
        <w:rPr>
          <w:b w:val="false"/>
        </w:rPr>
        <w:t xml:space="preserve"> Оказание услуг по проведению обязательных ежедневных предрейсовых медицинских осмотров водителей транспортных средств ГАПОУ СО «УКТП»</w:t>
      </w:r>
    </w:p>
    <w:p>
      <w:pPr>
        <w:pStyle w:val="variable"/>
        <w:rPr/>
      </w:pPr>
      <w:r>
        <w:rPr/>
        <w:t>Предмет договора (лота):</w:t>
      </w:r>
      <w:r>
        <w:rPr>
          <w:b w:val="false"/>
        </w:rPr>
        <w:t xml:space="preserve"> Оказание услуг по проведению обязательных ежедневных предрейсовых медицинских осмотров водителей транспортных средств ГАПОУ СО «УКТП».</w:t>
      </w:r>
    </w:p>
    <w:p>
      <w:pPr>
        <w:pStyle w:val="Normal"/>
        <w:rPr>
          <w:b/>
        </w:rPr>
      </w:pPr>
      <w:r>
        <w:rPr>
          <w:b/>
        </w:rPr>
        <w:t>Классификация товаров, работ, услуг: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90"/>
        <w:gridCol w:w="2265"/>
        <w:gridCol w:w="2116"/>
        <w:gridCol w:w="1343"/>
        <w:gridCol w:w="2317"/>
        <w:gridCol w:w="1207"/>
      </w:tblGrid>
      <w:tr>
        <w:trPr/>
        <w:tc>
          <w:tcPr>
            <w:tcW w:w="390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/>
            </w:pPr>
            <w:r>
              <w:rPr/>
              <w:t xml:space="preserve">№ </w:t>
            </w:r>
            <w:r>
              <w:rPr>
                <w:b/>
              </w:rPr>
              <w:t>п/п</w:t>
            </w:r>
          </w:p>
        </w:tc>
        <w:tc>
          <w:tcPr>
            <w:tcW w:w="226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Наименование</w:t>
            </w:r>
          </w:p>
        </w:tc>
        <w:tc>
          <w:tcPr>
            <w:tcW w:w="2116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Количество (ед. измерения)</w:t>
            </w:r>
          </w:p>
        </w:tc>
        <w:tc>
          <w:tcPr>
            <w:tcW w:w="1343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Вид требования</w:t>
            </w:r>
          </w:p>
        </w:tc>
        <w:tc>
          <w:tcPr>
            <w:tcW w:w="231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ОКПД 2</w:t>
            </w:r>
          </w:p>
        </w:tc>
        <w:tc>
          <w:tcPr>
            <w:tcW w:w="1207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Код ОКВЭД 2</w:t>
            </w:r>
          </w:p>
        </w:tc>
      </w:tr>
      <w:tr>
        <w:trPr/>
        <w:tc>
          <w:tcPr>
            <w:tcW w:w="390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1</w:t>
            </w:r>
          </w:p>
        </w:tc>
        <w:tc>
          <w:tcPr>
            <w:tcW w:w="226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2116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528 (Человек): Оказание услуг по проведению обязательных ежедневных предрейсовых медицинских осмотров водителей транспортных средств ГАПОУ СО «УКТП»</w:t>
            </w:r>
          </w:p>
        </w:tc>
        <w:tc>
          <w:tcPr>
            <w:tcW w:w="1343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snapToGrid w:val="false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231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86.21.10.120: Услуги, предоставляемые врачами общей врачебной практики, по проведению диагностических процедур и постановке диагноза</w:t>
            </w:r>
          </w:p>
        </w:tc>
        <w:tc>
          <w:tcPr>
            <w:tcW w:w="1207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86.21: Общая врачебная практика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Начальная (максимальная) цена договора (лота):</w:t>
      </w:r>
      <w:r>
        <w:rPr>
          <w:b w:val="false"/>
        </w:rPr>
        <w:t xml:space="preserve"> 36 960.00 руб.</w:t>
      </w:r>
    </w:p>
    <w:p>
      <w:pPr>
        <w:pStyle w:val="variable"/>
        <w:rPr/>
      </w:pPr>
      <w:r>
        <w:rPr/>
        <w:t>Особенности проведения закупки:</w:t>
      </w:r>
      <w:r>
        <w:rPr>
          <w:b w:val="false"/>
        </w:rPr>
        <w:t xml:space="preserve"> устанавливается преимущество в отношении товаров российского происхождения, выполняемых работ, оказываемых услуг российскими лицами.</w:t>
      </w:r>
    </w:p>
    <w:p>
      <w:pPr>
        <w:pStyle w:val="variable"/>
        <w:rPr/>
      </w:pPr>
      <w:r>
        <w:rPr/>
        <w:t>Срок предоставления документации о закупке:</w:t>
      </w:r>
      <w:r>
        <w:rPr>
          <w:b w:val="false"/>
        </w:rPr>
        <w:t xml:space="preserve"> с 5 декабря 2025 года по 15 декабря 2025 года.</w:t>
      </w:r>
    </w:p>
    <w:p>
      <w:pPr>
        <w:pStyle w:val="variable"/>
        <w:rPr/>
      </w:pPr>
      <w:r>
        <w:rPr/>
        <w:t>Место предоставления документации о закупке:</w:t>
      </w:r>
      <w:r>
        <w:rPr>
          <w:b w:val="false"/>
        </w:rPr>
        <w:t xml:space="preserve"> 620103, Свердловская обл., г. Екатеринбург, ул. Умельцев, 5, каб. бухгалтерии.</w:t>
      </w:r>
    </w:p>
    <w:p>
      <w:pPr>
        <w:pStyle w:val="variable"/>
        <w:rPr/>
      </w:pPr>
      <w:r>
        <w:rPr/>
        <w:t>Порядок предоставления документации о закупке:</w:t>
      </w:r>
      <w:r>
        <w:rPr>
          <w:b w:val="false"/>
        </w:rPr>
        <w:t xml:space="preserve"> в соответствии с положением о закупках.</w:t>
      </w:r>
    </w:p>
    <w:p>
      <w:pPr>
        <w:pStyle w:val="variable"/>
        <w:rPr/>
      </w:pPr>
      <w:r>
        <w:rPr/>
        <w:t>Официальный сайт, на котором размещена документация о закупке:</w:t>
      </w:r>
      <w:r>
        <w:rPr>
          <w:b w:val="false"/>
        </w:rPr>
        <w:t xml:space="preserve"> https://etp.torgi-online.com/.</w:t>
      </w:r>
    </w:p>
    <w:p>
      <w:pPr>
        <w:pStyle w:val="variable"/>
        <w:rPr/>
      </w:pPr>
      <w:r>
        <w:rPr/>
        <w:t>Размер, срок и порядок внесения платы за предоставление документации о закупке:</w:t>
      </w:r>
      <w:r>
        <w:rPr>
          <w:b w:val="false"/>
        </w:rPr>
        <w:t xml:space="preserve"> плата не установлена.</w:t>
      </w:r>
    </w:p>
    <w:p>
      <w:pPr>
        <w:pStyle w:val="variable"/>
        <w:rPr/>
      </w:pPr>
      <w:r>
        <w:rPr/>
        <w:t>Место подачи заявок:</w:t>
      </w:r>
      <w:r>
        <w:rPr>
          <w:b w:val="false"/>
        </w:rPr>
        <w:t xml:space="preserve"> ЭТП ТОРГИ-ОНЛАЙН https://etp.torgi-online.com.</w:t>
      </w:r>
    </w:p>
    <w:p>
      <w:pPr>
        <w:pStyle w:val="variable"/>
        <w:rPr/>
      </w:pPr>
      <w:r>
        <w:rPr/>
        <w:t>Дата начала подачи заявок:</w:t>
      </w:r>
      <w:r>
        <w:rPr>
          <w:b w:val="false"/>
        </w:rPr>
        <w:t xml:space="preserve"> 5 декабря 2025 года.</w:t>
      </w:r>
    </w:p>
    <w:p>
      <w:pPr>
        <w:pStyle w:val="variable"/>
        <w:rPr/>
      </w:pPr>
      <w:r>
        <w:rPr/>
        <w:t>Дата и время окончания подачи заявок:</w:t>
      </w:r>
      <w:r>
        <w:rPr>
          <w:b w:val="false"/>
        </w:rPr>
        <w:t xml:space="preserve"> 15 декабря 2025 года в 10:00 MCK+2.</w:t>
      </w:r>
    </w:p>
    <w:p>
      <w:pPr>
        <w:pStyle w:val="variable"/>
        <w:rPr/>
      </w:pPr>
      <w:r>
        <w:rPr/>
        <w:t>Место, дата и время рассмотрения заявок:</w:t>
      </w:r>
      <w:r>
        <w:rPr>
          <w:b w:val="false"/>
        </w:rPr>
        <w:t xml:space="preserve"> 620103, Свердловская обл., г. Екатеринбург, ул. Умельцев, 5, каб. бухгалтерии, 15 декабря 2025 года в 11:43 MCK+2.</w:t>
      </w:r>
    </w:p>
    <w:p>
      <w:pPr>
        <w:pStyle w:val="variable"/>
        <w:rPr/>
      </w:pPr>
      <w:r>
        <w:rPr/>
        <w:t>Место, дата и время подведения итогов закупки:</w:t>
      </w:r>
      <w:r>
        <w:rPr>
          <w:b w:val="false"/>
        </w:rPr>
        <w:t xml:space="preserve"> 620103, Свердловская обл., г. Екатеринбург, ул. Умельцев, 5, каб. бухгалтерии, 16 декабря 2025 года в 17:30 MCK+2.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II. Сведения о результатах рассмотрения заявок</w:t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подавших заявки на участие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3891"/>
        <w:gridCol w:w="3835"/>
        <w:gridCol w:w="1912"/>
      </w:tblGrid>
      <w:tr>
        <w:trPr/>
        <w:tc>
          <w:tcPr>
            <w:tcW w:w="3891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Дата и время регистрации заявки</w:t>
            </w:r>
          </w:p>
        </w:tc>
        <w:tc>
          <w:tcPr>
            <w:tcW w:w="3835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1912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3891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08.12.2025 13:19:17 MCK+2</w:t>
            </w:r>
          </w:p>
        </w:tc>
        <w:tc>
          <w:tcPr>
            <w:tcW w:w="3835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№31276</w:t>
            </w:r>
          </w:p>
        </w:tc>
        <w:tc>
          <w:tcPr>
            <w:tcW w:w="1912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Normal"/>
        <w:rPr>
          <w:b/>
        </w:rPr>
      </w:pPr>
      <w:r>
        <w:rPr>
          <w:b/>
        </w:rPr>
        <w:t xml:space="preserve">Сведения об участниках, допущенных к участию в закупке: </w:t>
      </w:r>
    </w:p>
    <w:tbl>
      <w:tblPr>
        <w:tblW w:w="5000" w:type="pct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6439"/>
        <w:gridCol w:w="3199"/>
      </w:tblGrid>
      <w:tr>
        <w:trPr/>
        <w:tc>
          <w:tcPr>
            <w:tcW w:w="6439" w:type="dxa"/>
            <w:tcBorders>
              <w:top w:val="single" w:sz="6" w:space="0" w:color="000000"/>
              <w:start w:val="single" w:sz="6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Номер заявки участника закупки</w:t>
            </w:r>
          </w:p>
        </w:tc>
        <w:tc>
          <w:tcPr>
            <w:tcW w:w="3199" w:type="dxa"/>
            <w:tcBorders>
              <w:top w:val="single" w:sz="6" w:space="0" w:color="000000"/>
              <w:start w:val="single" w:sz="2" w:space="0" w:color="000000"/>
              <w:bottom w:val="single" w:sz="2" w:space="0" w:color="000000"/>
              <w:end w:val="single" w:sz="6" w:space="0" w:color="000000"/>
            </w:tcBorders>
            <w:vAlign w:val="center"/>
          </w:tcPr>
          <w:p>
            <w:pPr>
              <w:pStyle w:val="TableContents"/>
              <w:jc w:val="center"/>
              <w:rPr>
                <w:b/>
              </w:rPr>
            </w:pPr>
            <w:r>
              <w:rPr>
                <w:b/>
              </w:rPr>
              <w:t>Почтовый адрес</w:t>
            </w:r>
          </w:p>
        </w:tc>
      </w:tr>
      <w:tr>
        <w:trPr/>
        <w:tc>
          <w:tcPr>
            <w:tcW w:w="6439" w:type="dxa"/>
            <w:tcBorders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Заявка №31276</w:t>
            </w:r>
          </w:p>
        </w:tc>
        <w:tc>
          <w:tcPr>
            <w:tcW w:w="3199" w:type="dxa"/>
            <w:tcBorders>
              <w:start w:val="single" w:sz="2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TableContents"/>
              <w:rPr/>
            </w:pPr>
            <w:r>
              <w:rPr/>
              <w:t>-</w:t>
            </w:r>
          </w:p>
        </w:tc>
      </w:tr>
    </w:tbl>
    <w:p>
      <w:pPr>
        <w:pStyle w:val="text"/>
        <w:rPr/>
      </w:pPr>
      <w:r>
        <w:rPr/>
      </w:r>
    </w:p>
    <w:p>
      <w:pPr>
        <w:pStyle w:val="variable"/>
        <w:rPr/>
      </w:pPr>
      <w:r>
        <w:rPr/>
        <w:t>Сведения об участниках, которым отказано в допуске к участию в закупке с указанием причин отклонения:</w:t>
      </w:r>
      <w:r>
        <w:rPr>
          <w:b w:val="false"/>
        </w:rPr>
        <w:t xml:space="preserve"> отклоненные заявки отсутствуют.</w:t>
      </w:r>
    </w:p>
    <w:p>
      <w:pPr>
        <w:pStyle w:val="text"/>
        <w:rPr/>
      </w:pPr>
      <w:r>
        <w:rPr/>
      </w:r>
    </w:p>
    <w:p>
      <w:pPr>
        <w:pStyle w:val="centered"/>
        <w:rPr>
          <w:b/>
        </w:rPr>
      </w:pPr>
      <w:r>
        <w:rPr>
          <w:b/>
        </w:rPr>
        <w:t>III. Сведения о признании закупки несостоявшейся</w:t>
      </w:r>
    </w:p>
    <w:p>
      <w:pPr>
        <w:pStyle w:val="text"/>
        <w:rPr/>
      </w:pPr>
      <w:r>
        <w:rPr/>
        <w:t>Конкурентная закупка признана несостоявшейся в связи с тем, что на участие в закупке подана только одна заявка</w:t>
      </w:r>
    </w:p>
    <w:p>
      <w:pPr>
        <w:pStyle w:val="text"/>
        <w:rPr/>
      </w:pPr>
      <w:r>
        <w:rPr/>
      </w:r>
    </w:p>
    <w:p>
      <w:pPr>
        <w:pStyle w:val="Normal"/>
        <w:widowControl/>
        <w:tabs>
          <w:tab w:val="clear" w:pos="709"/>
          <w:tab w:val="left" w:pos="-142" w:leader="none"/>
        </w:tabs>
        <w:spacing w:before="0" w:after="10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Протокол рассмотрения заявок на участие в запросе котировок подписан всеми присутствующими на заседании членами комиссии.</w:t>
      </w:r>
    </w:p>
    <w:tbl>
      <w:tblPr>
        <w:tblpPr w:vertAnchor="text" w:horzAnchor="margin" w:leftFromText="181" w:rightFromText="181" w:tblpX="-538" w:tblpY="398"/>
        <w:tblW w:w="9781" w:type="dxa"/>
        <w:jc w:val="start"/>
        <w:tblInd w:w="28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4110"/>
        <w:gridCol w:w="2978"/>
        <w:gridCol w:w="2693"/>
      </w:tblGrid>
      <w:tr>
        <w:trPr/>
        <w:tc>
          <w:tcPr>
            <w:tcW w:w="4110" w:type="dxa"/>
            <w:tcBorders/>
          </w:tcPr>
          <w:p>
            <w:pPr>
              <w:pStyle w:val="Normal"/>
              <w:ind w:firstLine="567" w:end="0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Заместитель председателя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firstLine="567" w:end="114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</w:r>
          </w:p>
          <w:p>
            <w:pPr>
              <w:pStyle w:val="Normal"/>
              <w:ind w:firstLine="567" w:end="114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ind w:firstLine="567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Кушкова Алена Дмитриевна</w:t>
            </w:r>
          </w:p>
          <w:p>
            <w:pPr>
              <w:pStyle w:val="Normal"/>
              <w:ind w:firstLine="567" w:end="0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ind w:firstLine="567" w:end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ind w:firstLine="567" w:end="0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Член комиссии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firstLine="567" w:end="114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</w:r>
          </w:p>
          <w:p>
            <w:pPr>
              <w:pStyle w:val="Normal"/>
              <w:ind w:firstLine="567" w:end="114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ind w:firstLine="567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Чернова Инга Валерьевна</w:t>
            </w:r>
          </w:p>
          <w:p>
            <w:pPr>
              <w:pStyle w:val="Normal"/>
              <w:ind w:firstLine="567" w:end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  <w:p>
            <w:pPr>
              <w:pStyle w:val="Normal"/>
              <w:ind w:firstLine="567" w:end="0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</w:r>
          </w:p>
        </w:tc>
      </w:tr>
      <w:tr>
        <w:trPr/>
        <w:tc>
          <w:tcPr>
            <w:tcW w:w="4110" w:type="dxa"/>
            <w:tcBorders/>
          </w:tcPr>
          <w:p>
            <w:pPr>
              <w:pStyle w:val="Normal"/>
              <w:ind w:firstLine="567" w:end="0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Секретарь</w:t>
            </w:r>
          </w:p>
        </w:tc>
        <w:tc>
          <w:tcPr>
            <w:tcW w:w="2978" w:type="dxa"/>
            <w:tcBorders/>
          </w:tcPr>
          <w:p>
            <w:pPr>
              <w:pStyle w:val="Normal"/>
              <w:pBdr>
                <w:bottom w:val="single" w:sz="12" w:space="1" w:color="000000"/>
              </w:pBdr>
              <w:snapToGrid w:val="false"/>
              <w:ind w:firstLine="567" w:end="114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</w:r>
          </w:p>
          <w:p>
            <w:pPr>
              <w:pStyle w:val="Normal"/>
              <w:ind w:firstLine="567" w:end="114"/>
              <w:jc w:val="center"/>
              <w:rPr>
                <w:rFonts w:cs="Times New Roman"/>
                <w:sz w:val="22"/>
                <w:szCs w:val="22"/>
              </w:rPr>
            </w:pPr>
            <w:r>
              <w:rPr>
                <w:rFonts w:cs="Times New Roman"/>
                <w:sz w:val="22"/>
                <w:szCs w:val="22"/>
              </w:rPr>
              <w:t>(подпись)</w:t>
            </w:r>
          </w:p>
        </w:tc>
        <w:tc>
          <w:tcPr>
            <w:tcW w:w="2693" w:type="dxa"/>
            <w:tcBorders/>
          </w:tcPr>
          <w:p>
            <w:pPr>
              <w:pStyle w:val="Normal"/>
              <w:ind w:firstLine="567" w:end="0"/>
              <w:rPr>
                <w:rFonts w:cs="Times New Roman"/>
                <w:sz w:val="22"/>
                <w:szCs w:val="22"/>
              </w:rPr>
            </w:pPr>
            <w:r>
              <w:rPr>
                <w:sz w:val="22"/>
                <w:szCs w:val="22"/>
              </w:rPr>
              <w:t>Комарова Надежда Эдуардовна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outlineLvl w:val="0"/>
    </w:pPr>
    <w:rPr>
      <w:b/>
      <w:bCs/>
      <w:sz w:val="32"/>
      <w:szCs w:val="32"/>
    </w:rPr>
  </w:style>
  <w:style w:type="paragraph" w:styleId="Heading2">
    <w:name w:val="heading 2"/>
    <w:basedOn w:val="Heading"/>
    <w:next w:val="BodyText"/>
    <w:qFormat/>
    <w:pPr>
      <w:numPr>
        <w:ilvl w:val="1"/>
        <w:numId w:val="1"/>
      </w:numPr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outlineLvl w:val="2"/>
    </w:pPr>
    <w:rPr>
      <w:b/>
      <w:bCs/>
      <w:sz w:val="28"/>
      <w:szCs w:val="28"/>
    </w:rPr>
  </w:style>
  <w:style w:type="character" w:styleId="Style11">
    <w:name w:val="Основной шрифт абзаца"/>
    <w:qFormat/>
    <w:rPr/>
  </w:style>
  <w:style w:type="character" w:styleId="NumberingSymbols">
    <w:name w:val="Numbering Symbols"/>
    <w:qFormat/>
    <w:rPr/>
  </w:style>
  <w:style w:type="character" w:styleId="FootnoteCharacters">
    <w:name w:val="Footnote Characters"/>
    <w:qFormat/>
    <w:rPr/>
  </w:style>
  <w:style w:type="character" w:styleId="EndnoteCharacters">
    <w:name w:val="Endnote Characters"/>
    <w:qFormat/>
    <w:rPr/>
  </w:style>
  <w:style w:type="character" w:styleId="Hyperlink">
    <w:name w:val="Hyperlink"/>
    <w:rPr>
      <w:color w:val="000080"/>
      <w:u w:val="single"/>
      <w:lang w:val="zxx" w:bidi="zxx"/>
    </w:rPr>
  </w:style>
  <w:style w:type="character" w:styleId="FollowedHyperlink">
    <w:name w:val="FollowedHyperlink"/>
    <w:rPr>
      <w:color w:val="800000"/>
      <w:u w:val="single"/>
      <w:lang w:val="zxx" w:bidi="zxx"/>
    </w:rPr>
  </w:style>
  <w:style w:type="character" w:styleId="Style12">
    <w:name w:val="Текст выноски Знак"/>
    <w:qFormat/>
    <w:rPr>
      <w:rFonts w:ascii="Segoe UI" w:hAnsi="Segoe UI" w:eastAsia="Lucida Sans Unicode" w:cs="Segoe UI"/>
      <w:kern w:val="2"/>
      <w:sz w:val="18"/>
      <w:szCs w:val="18"/>
      <w:lang w:bidi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Arial" w:hAnsi="Arial" w:cs="Tahoma"/>
    </w:rPr>
  </w:style>
  <w:style w:type="paragraph" w:styleId="Style13">
    <w:name w:val="Красная строка"/>
    <w:basedOn w:val="BodyText"/>
    <w:qFormat/>
    <w:pPr>
      <w:ind w:firstLine="283" w:start="0" w:end="0"/>
    </w:pPr>
    <w:rPr/>
  </w:style>
  <w:style w:type="paragraph" w:styleId="WW-Heading">
    <w:name w:val="WW-Heading"/>
    <w:basedOn w:val="Normal"/>
    <w:next w:val="BodyText"/>
    <w:qFormat/>
    <w:pPr>
      <w:keepNext w:val="true"/>
      <w:spacing w:before="240" w:after="120"/>
    </w:pPr>
    <w:rPr>
      <w:rFonts w:ascii="Liberation Sans;Arial" w:hAnsi="Liberation Sans;Arial" w:eastAsia="DejaVu Sans" w:cs="DejaVu Sans"/>
      <w:sz w:val="28"/>
      <w:szCs w:val="28"/>
    </w:rPr>
  </w:style>
  <w:style w:type="paragraph" w:styleId="Subtitle">
    <w:name w:val="Subtitle"/>
    <w:basedOn w:val="Heading"/>
    <w:next w:val="BodyText"/>
    <w:qFormat/>
    <w:pPr>
      <w:jc w:val="center"/>
    </w:pPr>
    <w:rPr>
      <w:i/>
      <w:iCs/>
      <w:sz w:val="28"/>
      <w:szCs w:val="28"/>
    </w:rPr>
  </w:style>
  <w:style w:type="paragraph" w:styleId="Style14">
    <w:name w:val="Название объекта"/>
    <w:basedOn w:val="Normal"/>
    <w:qFormat/>
    <w:pPr>
      <w:suppressLineNumbers/>
      <w:spacing w:before="120" w:after="120"/>
    </w:pPr>
    <w:rPr>
      <w:rFonts w:ascii="Times New Roman" w:hAnsi="Times New Roman" w:cs="Tahoma"/>
      <w:i/>
      <w:iCs/>
      <w:sz w:val="20"/>
      <w:szCs w:val="24"/>
    </w:rPr>
  </w:style>
  <w:style w:type="paragraph" w:styleId="Bibliography1">
    <w:name w:val="Bibliography 1"/>
    <w:basedOn w:val="Index"/>
    <w:qFormat/>
    <w:pPr>
      <w:tabs>
        <w:tab w:val="clear" w:pos="709"/>
        <w:tab w:val="right" w:pos="9637" w:leader="dot"/>
      </w:tabs>
      <w:ind w:hanging="0" w:start="0" w:end="0"/>
    </w:pPr>
    <w:rPr/>
  </w:style>
  <w:style w:type="paragraph" w:styleId="publication">
    <w:name w:val="publication"/>
    <w:basedOn w:val="Normal"/>
    <w:next w:val="text"/>
    <w:qFormat/>
    <w:pPr>
      <w:pBdr/>
      <w:spacing w:lineRule="auto" w:line="240"/>
    </w:pPr>
    <w:rPr>
      <w:rFonts w:ascii="Arial" w:hAnsi="Arial" w:cs="Arial"/>
      <w:b w:val="false"/>
      <w:color w:val="FFFFFF"/>
      <w:sz w:val="22"/>
      <w:shd w:fill="000000" w:val="clear"/>
    </w:rPr>
  </w:style>
  <w:style w:type="paragraph" w:styleId="text">
    <w:name w:val="text"/>
    <w:qFormat/>
    <w:pPr>
      <w:widowControl w:val="false"/>
      <w:suppressAutoHyphens w:val="true"/>
      <w:bidi w:val="0"/>
    </w:pPr>
    <w:rPr>
      <w:rFonts w:ascii="Times New Roman" w:hAnsi="Times New Roman" w:eastAsia="Lucida Sans Unicode" w:cs="Tahoma"/>
      <w:color w:val="auto"/>
      <w:kern w:val="2"/>
      <w:sz w:val="24"/>
      <w:szCs w:val="24"/>
      <w:lang w:val="ru-RU" w:bidi="ru-RU" w:eastAsia="zh-CN"/>
    </w:rPr>
  </w:style>
  <w:style w:type="paragraph" w:styleId="layout0">
    <w:name w:val="layout0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>
      <w:b/>
      <w:sz w:val="32"/>
    </w:rPr>
  </w:style>
  <w:style w:type="paragraph" w:styleId="layout1">
    <w:name w:val="layout1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layout2">
    <w:name w:val="layout2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messagecaption">
    <w:name w:val="messagecaption"/>
    <w:basedOn w:val="text"/>
    <w:next w:val="text"/>
    <w:qFormat/>
    <w:pPr>
      <w:spacing w:lineRule="atLeast" w:line="0"/>
      <w:jc w:val="center"/>
    </w:pPr>
    <w:rPr>
      <w:b/>
      <w:caps/>
    </w:rPr>
  </w:style>
  <w:style w:type="paragraph" w:styleId="messagesubcaption">
    <w:name w:val="messagesubcaption"/>
    <w:basedOn w:val="text"/>
    <w:next w:val="text"/>
    <w:qFormat/>
    <w:pPr>
      <w:jc w:val="center"/>
    </w:pPr>
    <w:rPr>
      <w:b w:val="false"/>
      <w:caps w:val="false"/>
      <w:smallCaps w:val="false"/>
    </w:rPr>
  </w:style>
  <w:style w:type="paragraph" w:styleId="print">
    <w:name w:val="print"/>
    <w:basedOn w:val="Heading1"/>
    <w:next w:val="text"/>
    <w:qFormat/>
    <w:pPr>
      <w:numPr>
        <w:ilvl w:val="0"/>
        <w:numId w:val="0"/>
      </w:numPr>
      <w:ind w:hanging="0" w:start="0" w:end="0"/>
      <w:outlineLvl w:val="9"/>
    </w:pPr>
    <w:rPr/>
  </w:style>
  <w:style w:type="paragraph" w:styleId="printChapter">
    <w:name w:val="printChapter"/>
    <w:basedOn w:val="Heading2"/>
    <w:next w:val="text"/>
    <w:qFormat/>
    <w:pPr>
      <w:numPr>
        <w:ilvl w:val="0"/>
        <w:numId w:val="0"/>
      </w:numPr>
      <w:ind w:hanging="0" w:start="0" w:end="0"/>
      <w:outlineLvl w:val="9"/>
    </w:pPr>
    <w:rPr>
      <w:sz w:val="28"/>
    </w:rPr>
  </w:style>
  <w:style w:type="paragraph" w:styleId="printSubChapter">
    <w:name w:val="printSubChapter"/>
    <w:basedOn w:val="Heading3"/>
    <w:next w:val="text"/>
    <w:qFormat/>
    <w:pPr>
      <w:numPr>
        <w:ilvl w:val="0"/>
        <w:numId w:val="0"/>
      </w:numPr>
      <w:ind w:hanging="0" w:start="0" w:end="0"/>
      <w:outlineLvl w:val="9"/>
    </w:pPr>
    <w:rPr>
      <w:sz w:val="26"/>
    </w:rPr>
  </w:style>
  <w:style w:type="paragraph" w:styleId="variable">
    <w:name w:val="variable"/>
    <w:basedOn w:val="text"/>
    <w:next w:val="text"/>
    <w:qFormat/>
    <w:pPr/>
    <w:rPr>
      <w:b/>
    </w:rPr>
  </w:style>
  <w:style w:type="paragraph" w:styleId="Text1">
    <w:name w:val="Text1"/>
    <w:basedOn w:val="Style14"/>
    <w:qFormat/>
    <w:pPr/>
    <w:rPr/>
  </w:style>
  <w:style w:type="paragraph" w:styleId="centered">
    <w:name w:val="centered"/>
    <w:basedOn w:val="text"/>
    <w:next w:val="text"/>
    <w:qFormat/>
    <w:pPr>
      <w:jc w:val="center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ListContents">
    <w:name w:val="List Contents"/>
    <w:basedOn w:val="Normal"/>
    <w:qFormat/>
    <w:pPr>
      <w:ind w:hanging="0" w:start="567" w:end="0"/>
    </w:pPr>
    <w:rPr/>
  </w:style>
  <w:style w:type="paragraph" w:styleId="Style15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2025-12-15T06:48:00Z</dcterms:created>
  <dc:creator>Бухгалтер Экономист</dc:creator>
  <dc:description/>
  <cp:keywords/>
  <dc:language>en-US</dc:language>
  <cp:lastModifiedBy>Бухгалтер Экономист</cp:lastModifiedBy>
  <cp:lastPrinted>2025-12-15T11:46:00Z</cp:lastPrinted>
  <dcterms:modified xsi:type="dcterms:W3CDTF">2025-12-15T06:48:00Z</dcterms:modified>
  <cp:revision>2</cp:revision>
  <dc:subject/>
  <dc:title/>
</cp:coreProperties>
</file>