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_rels/document.xml.rels" ContentType="application/vnd.openxmlformats-package.relationships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0"/>
        </w:numPr>
        <w:bidi w:val="0"/>
        <w:spacing w:lineRule="auto" w:line="240" w:before="0" w:after="0"/>
        <w:ind w:hanging="0" w:start="0" w:end="0"/>
        <w:jc w:val="center"/>
        <w:outlineLvl w:val="0"/>
        <w:rPr>
          <w:rFonts w:ascii="Arial" w:hAnsi="Arial" w:cs="Arial"/>
          <w:kern w:val="2"/>
          <w:sz w:val="20"/>
          <w:szCs w:val="20"/>
          <w:lang w:eastAsia="ru-RU"/>
        </w:rPr>
      </w:pPr>
      <w:r>
        <w:rPr>
          <w:rFonts w:cs="Arial" w:ascii="Arial" w:hAnsi="Arial"/>
          <w:kern w:val="2"/>
          <w:sz w:val="20"/>
          <w:szCs w:val="20"/>
          <w:lang w:eastAsia="ru-RU"/>
        </w:rPr>
        <w:t>Протокол</w:t>
      </w:r>
    </w:p>
    <w:p>
      <w:pPr>
        <w:pStyle w:val="Normal"/>
        <w:numPr>
          <w:ilvl w:val="0"/>
          <w:numId w:val="0"/>
        </w:numPr>
        <w:bidi w:val="0"/>
        <w:spacing w:lineRule="auto" w:line="240" w:before="0" w:after="0"/>
        <w:ind w:hanging="0" w:start="0" w:end="0"/>
        <w:jc w:val="center"/>
        <w:outlineLvl w:val="0"/>
        <w:rPr>
          <w:rFonts w:ascii="Arial" w:hAnsi="Arial" w:cs="Arial"/>
          <w:kern w:val="2"/>
          <w:sz w:val="20"/>
          <w:szCs w:val="20"/>
          <w:lang w:eastAsia="ru-RU"/>
        </w:rPr>
      </w:pPr>
      <w:r>
        <w:rPr>
          <w:rFonts w:cs="Arial" w:ascii="Arial" w:hAnsi="Arial"/>
          <w:kern w:val="2"/>
          <w:sz w:val="20"/>
          <w:szCs w:val="20"/>
          <w:lang w:eastAsia="ru-RU"/>
        </w:rPr>
        <w:t xml:space="preserve">заседания Центральной закупочной комиссии </w:t>
      </w:r>
    </w:p>
    <w:p>
      <w:pPr>
        <w:pStyle w:val="Normal"/>
        <w:numPr>
          <w:ilvl w:val="0"/>
          <w:numId w:val="0"/>
        </w:numPr>
        <w:bidi w:val="0"/>
        <w:spacing w:lineRule="auto" w:line="240" w:before="0" w:after="0"/>
        <w:ind w:hanging="0" w:start="0" w:end="0"/>
        <w:jc w:val="center"/>
        <w:outlineLvl w:val="0"/>
        <w:rPr>
          <w:rFonts w:ascii="Arial" w:hAnsi="Arial" w:cs="Arial"/>
          <w:kern w:val="2"/>
          <w:sz w:val="20"/>
          <w:szCs w:val="20"/>
          <w:lang w:eastAsia="ru-RU"/>
        </w:rPr>
      </w:pPr>
      <w:r>
        <w:rPr>
          <w:rFonts w:cs="Arial" w:ascii="Arial" w:hAnsi="Arial"/>
          <w:kern w:val="2"/>
          <w:sz w:val="20"/>
          <w:szCs w:val="20"/>
          <w:lang w:eastAsia="ru-RU"/>
        </w:rPr>
      </w:r>
    </w:p>
    <w:tbl>
      <w:tblPr>
        <w:tblW w:w="10013" w:type="dxa"/>
        <w:jc w:val="start"/>
        <w:tblInd w:w="0" w:type="dxa"/>
        <w:tblLayout w:type="fixed"/>
        <w:tblCellMar>
          <w:top w:w="15" w:type="dxa"/>
          <w:start w:w="15" w:type="dxa"/>
          <w:bottom w:w="15" w:type="dxa"/>
          <w:end w:w="15" w:type="dxa"/>
        </w:tblCellMar>
      </w:tblPr>
      <w:tblGrid>
        <w:gridCol w:w="5006"/>
        <w:gridCol w:w="5007"/>
      </w:tblGrid>
      <w:tr>
        <w:trPr/>
        <w:tc>
          <w:tcPr>
            <w:tcW w:w="5006" w:type="dxa"/>
            <w:tcBorders/>
          </w:tcPr>
          <w:p>
            <w:pPr>
              <w:pStyle w:val="Normal"/>
              <w:numPr>
                <w:ilvl w:val="0"/>
                <w:numId w:val="0"/>
              </w:numPr>
              <w:tabs>
                <w:tab w:val="clear" w:pos="708"/>
              </w:tabs>
              <w:bidi w:val="0"/>
              <w:spacing w:lineRule="auto" w:line="240" w:before="0" w:after="0"/>
              <w:ind w:hanging="0" w:start="0" w:end="0"/>
              <w:outlineLvl w:val="0"/>
              <w:rPr/>
            </w:pPr>
            <w:r>
              <w:rPr>
                <w:rFonts w:cs="Arial" w:ascii="Arial" w:hAnsi="Arial"/>
                <w:kern w:val="2"/>
                <w:sz w:val="20"/>
                <w:szCs w:val="20"/>
                <w:lang w:eastAsia="ru-RU"/>
              </w:rPr>
              <w:t>№</w:t>
            </w:r>
            <w:r>
              <w:rPr>
                <w:rFonts w:cs="Arial" w:ascii="Arial" w:hAnsi="Arial"/>
                <w:bCs/>
                <w:sz w:val="20"/>
                <w:szCs w:val="20"/>
                <w:lang w:eastAsia="ru-RU"/>
              </w:rPr>
              <w:t> </w:t>
            </w:r>
            <w:r>
              <w:rPr>
                <w:rFonts w:cs="Arial" w:ascii="Arial" w:hAnsi="Arial"/>
                <w:kern w:val="2"/>
                <w:sz w:val="20"/>
                <w:szCs w:val="20"/>
                <w:lang w:eastAsia="ru-RU"/>
              </w:rPr>
              <w:t>2025-02-МСП</w:t>
            </w:r>
          </w:p>
        </w:tc>
        <w:tc>
          <w:tcPr>
            <w:tcW w:w="5007" w:type="dxa"/>
            <w:tcBorders/>
          </w:tcPr>
          <w:p>
            <w:pPr>
              <w:pStyle w:val="Normal"/>
              <w:numPr>
                <w:ilvl w:val="0"/>
                <w:numId w:val="0"/>
              </w:numPr>
              <w:tabs>
                <w:tab w:val="clear" w:pos="708"/>
              </w:tabs>
              <w:bidi w:val="0"/>
              <w:spacing w:lineRule="auto" w:line="240" w:before="0" w:after="0"/>
              <w:ind w:hanging="0" w:start="0" w:end="0"/>
              <w:jc w:val="end"/>
              <w:outlineLvl w:val="0"/>
              <w:rPr>
                <w:rFonts w:ascii="Arial" w:hAnsi="Arial" w:cs="Arial"/>
                <w:kern w:val="2"/>
                <w:sz w:val="20"/>
                <w:szCs w:val="20"/>
                <w:lang w:eastAsia="ru-RU"/>
              </w:rPr>
            </w:pPr>
            <w:r>
              <w:rPr>
                <w:rFonts w:cs="Arial" w:ascii="Arial" w:hAnsi="Arial"/>
                <w:kern w:val="2"/>
                <w:sz w:val="20"/>
                <w:szCs w:val="20"/>
                <w:lang w:eastAsia="ru-RU"/>
              </w:rPr>
              <w:t>«03»</w:t>
            </w:r>
            <w:r>
              <w:rPr>
                <w:rFonts w:cs="Arial" w:ascii="Arial" w:hAnsi="Arial"/>
                <w:bCs/>
                <w:sz w:val="20"/>
                <w:szCs w:val="20"/>
                <w:lang w:eastAsia="ru-RU"/>
              </w:rPr>
              <w:t> </w:t>
            </w:r>
            <w:r>
              <w:rPr>
                <w:rFonts w:cs="Arial" w:ascii="Arial" w:hAnsi="Arial"/>
                <w:kern w:val="2"/>
                <w:sz w:val="20"/>
                <w:szCs w:val="20"/>
                <w:lang w:eastAsia="ru-RU"/>
              </w:rPr>
              <w:t>марта</w:t>
            </w:r>
            <w:r>
              <w:rPr>
                <w:rFonts w:cs="Arial" w:ascii="Arial" w:hAnsi="Arial"/>
                <w:bCs/>
                <w:sz w:val="20"/>
                <w:szCs w:val="20"/>
                <w:lang w:eastAsia="ru-RU"/>
              </w:rPr>
              <w:t> </w:t>
            </w:r>
            <w:r>
              <w:rPr>
                <w:rFonts w:cs="Arial" w:ascii="Arial" w:hAnsi="Arial"/>
                <w:kern w:val="2"/>
                <w:sz w:val="20"/>
                <w:szCs w:val="20"/>
                <w:lang w:eastAsia="ru-RU"/>
              </w:rPr>
              <w:t>2025</w:t>
            </w:r>
            <w:r>
              <w:rPr>
                <w:rFonts w:cs="Arial" w:ascii="Arial" w:hAnsi="Arial"/>
                <w:bCs/>
                <w:sz w:val="20"/>
                <w:szCs w:val="20"/>
                <w:lang w:eastAsia="ru-RU"/>
              </w:rPr>
              <w:t> </w:t>
            </w:r>
            <w:r>
              <w:rPr>
                <w:rFonts w:cs="Arial" w:ascii="Arial" w:hAnsi="Arial"/>
                <w:kern w:val="2"/>
                <w:sz w:val="20"/>
                <w:szCs w:val="20"/>
                <w:lang w:eastAsia="ru-RU"/>
              </w:rPr>
              <w:t>г.</w:t>
            </w:r>
          </w:p>
          <w:p>
            <w:pPr>
              <w:pStyle w:val="Normal"/>
              <w:numPr>
                <w:ilvl w:val="0"/>
                <w:numId w:val="0"/>
              </w:numPr>
              <w:tabs>
                <w:tab w:val="clear" w:pos="708"/>
              </w:tabs>
              <w:bidi w:val="0"/>
              <w:spacing w:lineRule="auto" w:line="240" w:before="0" w:after="0"/>
              <w:ind w:hanging="0" w:start="0" w:end="0"/>
              <w:jc w:val="end"/>
              <w:outlineLvl w:val="0"/>
              <w:rPr>
                <w:rFonts w:ascii="Arial" w:hAnsi="Arial" w:cs="Arial"/>
                <w:kern w:val="2"/>
                <w:sz w:val="20"/>
                <w:szCs w:val="20"/>
                <w:lang w:eastAsia="ru-RU"/>
              </w:rPr>
            </w:pPr>
            <w:r>
              <w:rPr>
                <w:rFonts w:cs="Arial" w:ascii="Arial" w:hAnsi="Arial"/>
                <w:kern w:val="2"/>
                <w:sz w:val="20"/>
                <w:szCs w:val="20"/>
                <w:lang w:eastAsia="ru-RU"/>
              </w:rPr>
            </w:r>
          </w:p>
          <w:p>
            <w:pPr>
              <w:pStyle w:val="Normal"/>
              <w:numPr>
                <w:ilvl w:val="0"/>
                <w:numId w:val="0"/>
              </w:numPr>
              <w:tabs>
                <w:tab w:val="clear" w:pos="708"/>
              </w:tabs>
              <w:bidi w:val="0"/>
              <w:spacing w:lineRule="auto" w:line="240" w:before="0" w:after="0"/>
              <w:ind w:hanging="0" w:start="0" w:end="0"/>
              <w:jc w:val="end"/>
              <w:outlineLvl w:val="0"/>
              <w:rPr>
                <w:rFonts w:ascii="Arial" w:hAnsi="Arial" w:cs="Arial"/>
                <w:kern w:val="2"/>
                <w:sz w:val="20"/>
                <w:szCs w:val="20"/>
                <w:lang w:eastAsia="ru-RU"/>
              </w:rPr>
            </w:pPr>
            <w:r>
              <w:rPr>
                <w:rFonts w:cs="Arial" w:ascii="Arial" w:hAnsi="Arial"/>
                <w:kern w:val="2"/>
                <w:sz w:val="20"/>
                <w:szCs w:val="20"/>
                <w:lang w:eastAsia="ru-RU"/>
              </w:rPr>
            </w:r>
          </w:p>
        </w:tc>
      </w:tr>
    </w:tbl>
    <w:p>
      <w:pPr>
        <w:pStyle w:val="Normal"/>
        <w:numPr>
          <w:ilvl w:val="0"/>
          <w:numId w:val="0"/>
        </w:numPr>
        <w:bidi w:val="0"/>
        <w:spacing w:lineRule="auto" w:line="240" w:before="0" w:after="0"/>
        <w:ind w:hanging="0" w:start="0" w:end="0"/>
        <w:jc w:val="both"/>
        <w:outlineLvl w:val="1"/>
        <w:rPr>
          <w:rFonts w:ascii="Arial" w:hAnsi="Arial" w:cs="Arial"/>
          <w:sz w:val="20"/>
          <w:szCs w:val="20"/>
          <w:lang w:eastAsia="ru-RU"/>
        </w:rPr>
      </w:pPr>
      <w:r>
        <w:rPr>
          <w:rFonts w:cs="Arial" w:ascii="Arial" w:hAnsi="Arial"/>
          <w:sz w:val="20"/>
          <w:szCs w:val="20"/>
          <w:lang w:eastAsia="ru-RU"/>
        </w:rPr>
      </w:r>
    </w:p>
    <w:p>
      <w:pPr>
        <w:pStyle w:val="Normal"/>
        <w:bidi w:val="0"/>
        <w:spacing w:lineRule="auto" w:line="276"/>
        <w:ind w:hanging="0" w:start="0" w:end="0"/>
        <w:rPr>
          <w:rFonts w:ascii="Arial" w:hAnsi="Arial" w:cs="Arial"/>
          <w:sz w:val="20"/>
          <w:szCs w:val="20"/>
          <w:lang w:eastAsia="ru-RU"/>
        </w:rPr>
      </w:pPr>
      <w:r>
        <w:rPr>
          <w:rFonts w:cs="Arial" w:ascii="Arial" w:hAnsi="Arial"/>
          <w:sz w:val="20"/>
          <w:szCs w:val="20"/>
          <w:lang w:eastAsia="ru-RU"/>
        </w:rPr>
        <w:t>Наименование комиссии:</w:t>
      </w:r>
      <w:r>
        <w:rPr>
          <w:rFonts w:cs="Arial" w:ascii="Arial" w:hAnsi="Arial"/>
          <w:bCs/>
          <w:sz w:val="20"/>
          <w:szCs w:val="20"/>
          <w:lang w:eastAsia="ru-RU"/>
        </w:rPr>
        <w:t xml:space="preserve"> </w:t>
      </w:r>
      <w:r>
        <w:rPr>
          <w:rFonts w:cs="Arial" w:ascii="Arial" w:hAnsi="Arial"/>
          <w:sz w:val="20"/>
          <w:szCs w:val="20"/>
          <w:lang w:eastAsia="ru-RU"/>
        </w:rPr>
        <w:t xml:space="preserve">Центральная </w:t>
      </w:r>
      <w:r>
        <w:rPr>
          <w:rFonts w:cs="Arial" w:ascii="Arial" w:hAnsi="Arial"/>
          <w:sz w:val="20"/>
          <w:szCs w:val="20"/>
        </w:rPr>
        <w:t>закупочная</w:t>
      </w:r>
      <w:r>
        <w:rPr>
          <w:rFonts w:cs="Arial" w:ascii="Arial" w:hAnsi="Arial"/>
          <w:sz w:val="20"/>
          <w:szCs w:val="20"/>
          <w:lang w:eastAsia="ru-RU"/>
        </w:rPr>
        <w:t xml:space="preserve"> комиссия ООО</w:t>
      </w:r>
      <w:r>
        <w:rPr>
          <w:rFonts w:cs="Arial" w:ascii="Arial" w:hAnsi="Arial"/>
          <w:bCs/>
          <w:sz w:val="20"/>
          <w:szCs w:val="20"/>
          <w:lang w:eastAsia="ru-RU"/>
        </w:rPr>
        <w:t> </w:t>
      </w:r>
      <w:r>
        <w:rPr>
          <w:rFonts w:cs="Arial" w:ascii="Arial" w:hAnsi="Arial"/>
          <w:sz w:val="20"/>
          <w:szCs w:val="20"/>
          <w:lang w:eastAsia="ru-RU"/>
        </w:rPr>
        <w:t>«ТатАИСЭнерго»</w:t>
      </w:r>
    </w:p>
    <w:p>
      <w:pPr>
        <w:pStyle w:val="Normal"/>
        <w:numPr>
          <w:ilvl w:val="0"/>
          <w:numId w:val="0"/>
        </w:numPr>
        <w:bidi w:val="0"/>
        <w:spacing w:lineRule="auto" w:line="240" w:before="0" w:after="0"/>
        <w:ind w:firstLine="708" w:start="0" w:end="0"/>
        <w:jc w:val="both"/>
        <w:outlineLvl w:val="1"/>
        <w:rPr>
          <w:rFonts w:ascii="Arial" w:hAnsi="Arial" w:cs="Arial"/>
          <w:sz w:val="20"/>
          <w:szCs w:val="20"/>
          <w:lang w:eastAsia="ru-RU"/>
        </w:rPr>
      </w:pPr>
      <w:r>
        <w:rPr>
          <w:rFonts w:cs="Arial" w:ascii="Arial" w:hAnsi="Arial"/>
          <w:sz w:val="20"/>
          <w:szCs w:val="20"/>
          <w:lang w:eastAsia="ru-RU"/>
        </w:rPr>
      </w:r>
    </w:p>
    <w:p>
      <w:pPr>
        <w:pStyle w:val="Normal"/>
        <w:numPr>
          <w:ilvl w:val="0"/>
          <w:numId w:val="0"/>
        </w:numPr>
        <w:bidi w:val="0"/>
        <w:spacing w:lineRule="auto" w:line="240" w:before="0" w:after="0"/>
        <w:ind w:hanging="0" w:start="0" w:end="0"/>
        <w:jc w:val="both"/>
        <w:outlineLvl w:val="1"/>
        <w:rPr>
          <w:rFonts w:ascii="Arial" w:hAnsi="Arial" w:cs="Arial"/>
          <w:sz w:val="20"/>
          <w:szCs w:val="20"/>
          <w:lang w:eastAsia="ru-RU"/>
        </w:rPr>
      </w:pPr>
      <w:r>
        <w:rPr>
          <w:rFonts w:cs="Arial" w:ascii="Arial" w:hAnsi="Arial"/>
          <w:sz w:val="20"/>
          <w:szCs w:val="20"/>
          <w:lang w:eastAsia="ru-RU"/>
        </w:rPr>
        <w:t>Место заседания комиссии:</w:t>
      </w:r>
      <w:r>
        <w:rPr>
          <w:rFonts w:cs="Arial" w:ascii="Arial" w:hAnsi="Arial"/>
          <w:bCs/>
          <w:sz w:val="20"/>
          <w:szCs w:val="20"/>
          <w:lang w:eastAsia="ru-RU"/>
        </w:rPr>
        <w:t xml:space="preserve"> 420107, Республика Татарстан, </w:t>
      </w:r>
      <w:r>
        <w:rPr>
          <w:rFonts w:cs="Arial" w:ascii="Arial" w:hAnsi="Arial"/>
          <w:sz w:val="20"/>
          <w:szCs w:val="20"/>
          <w:lang w:eastAsia="ru-RU"/>
        </w:rPr>
        <w:t>г.</w:t>
      </w:r>
      <w:r>
        <w:rPr>
          <w:rFonts w:cs="Arial" w:ascii="Arial" w:hAnsi="Arial"/>
          <w:bCs/>
          <w:sz w:val="20"/>
          <w:szCs w:val="20"/>
          <w:lang w:eastAsia="ru-RU"/>
        </w:rPr>
        <w:t> </w:t>
      </w:r>
      <w:r>
        <w:rPr>
          <w:rFonts w:cs="Arial" w:ascii="Arial" w:hAnsi="Arial"/>
          <w:sz w:val="20"/>
          <w:szCs w:val="20"/>
          <w:lang w:eastAsia="ru-RU"/>
        </w:rPr>
        <w:t>Казань, ул.</w:t>
      </w:r>
      <w:r>
        <w:rPr>
          <w:rFonts w:cs="Arial" w:ascii="Arial" w:hAnsi="Arial"/>
          <w:bCs/>
          <w:sz w:val="20"/>
          <w:szCs w:val="20"/>
          <w:lang w:eastAsia="ru-RU"/>
        </w:rPr>
        <w:t> </w:t>
      </w:r>
      <w:r>
        <w:rPr>
          <w:rFonts w:cs="Arial" w:ascii="Arial" w:hAnsi="Arial"/>
          <w:sz w:val="20"/>
          <w:szCs w:val="20"/>
          <w:lang w:eastAsia="ru-RU"/>
        </w:rPr>
        <w:t>Марселя Салимжанова, дом</w:t>
      </w:r>
      <w:r>
        <w:rPr>
          <w:rFonts w:cs="Arial" w:ascii="Arial" w:hAnsi="Arial"/>
          <w:bCs/>
          <w:sz w:val="20"/>
          <w:szCs w:val="20"/>
          <w:lang w:eastAsia="ru-RU"/>
        </w:rPr>
        <w:t> </w:t>
      </w:r>
      <w:r>
        <w:rPr>
          <w:rFonts w:cs="Arial" w:ascii="Arial" w:hAnsi="Arial"/>
          <w:sz w:val="20"/>
          <w:szCs w:val="20"/>
          <w:lang w:eastAsia="ru-RU"/>
        </w:rPr>
        <w:t>1, кабинет</w:t>
      </w:r>
      <w:r>
        <w:rPr>
          <w:rFonts w:cs="Arial" w:ascii="Arial" w:hAnsi="Arial"/>
          <w:bCs/>
          <w:sz w:val="20"/>
          <w:szCs w:val="20"/>
          <w:lang w:eastAsia="ru-RU"/>
        </w:rPr>
        <w:t> </w:t>
      </w:r>
      <w:r>
        <w:rPr>
          <w:rFonts w:cs="Arial" w:ascii="Arial" w:hAnsi="Arial"/>
          <w:sz w:val="20"/>
          <w:szCs w:val="20"/>
          <w:lang w:eastAsia="ru-RU"/>
        </w:rPr>
        <w:t>233</w:t>
      </w:r>
    </w:p>
    <w:p>
      <w:pPr>
        <w:pStyle w:val="Normal"/>
        <w:numPr>
          <w:ilvl w:val="0"/>
          <w:numId w:val="0"/>
        </w:numPr>
        <w:bidi w:val="0"/>
        <w:spacing w:lineRule="auto" w:line="240" w:before="0" w:after="0"/>
        <w:ind w:hanging="0" w:start="0" w:end="0"/>
        <w:outlineLvl w:val="1"/>
        <w:rPr>
          <w:rFonts w:ascii="Arial" w:hAnsi="Arial" w:cs="Arial"/>
          <w:sz w:val="20"/>
          <w:szCs w:val="20"/>
          <w:lang w:eastAsia="ru-RU"/>
        </w:rPr>
      </w:pPr>
      <w:r>
        <w:rPr>
          <w:rFonts w:cs="Arial" w:ascii="Arial" w:hAnsi="Arial"/>
          <w:sz w:val="20"/>
          <w:szCs w:val="20"/>
          <w:lang w:eastAsia="ru-RU"/>
        </w:rPr>
      </w:r>
    </w:p>
    <w:p>
      <w:pPr>
        <w:pStyle w:val="Normal"/>
        <w:numPr>
          <w:ilvl w:val="0"/>
          <w:numId w:val="0"/>
        </w:numPr>
        <w:bidi w:val="0"/>
        <w:spacing w:lineRule="auto" w:line="240" w:before="0" w:after="0"/>
        <w:ind w:hanging="0" w:start="0" w:end="0"/>
        <w:jc w:val="both"/>
        <w:outlineLvl w:val="1"/>
        <w:rPr>
          <w:rFonts w:ascii="Arial" w:hAnsi="Arial" w:cs="Arial"/>
          <w:sz w:val="20"/>
          <w:szCs w:val="20"/>
          <w:lang w:eastAsia="ru-RU"/>
        </w:rPr>
      </w:pPr>
      <w:r>
        <w:rPr>
          <w:rFonts w:cs="Arial" w:ascii="Arial" w:hAnsi="Arial"/>
          <w:sz w:val="20"/>
          <w:szCs w:val="20"/>
          <w:lang w:eastAsia="ru-RU"/>
        </w:rPr>
        <w:t>Присутствовали:</w:t>
      </w:r>
    </w:p>
    <w:p>
      <w:pPr>
        <w:pStyle w:val="Normal"/>
        <w:numPr>
          <w:ilvl w:val="0"/>
          <w:numId w:val="0"/>
        </w:numPr>
        <w:bidi w:val="0"/>
        <w:spacing w:lineRule="auto" w:line="240" w:before="0" w:after="0"/>
        <w:ind w:hanging="0" w:start="0" w:end="0"/>
        <w:jc w:val="both"/>
        <w:outlineLvl w:val="1"/>
        <w:rPr>
          <w:rFonts w:ascii="Arial" w:hAnsi="Arial" w:cs="Arial"/>
          <w:sz w:val="20"/>
          <w:szCs w:val="20"/>
          <w:lang w:eastAsia="ru-RU"/>
        </w:rPr>
      </w:pPr>
      <w:r>
        <w:rPr>
          <w:rFonts w:cs="Arial" w:ascii="Arial" w:hAnsi="Arial"/>
          <w:sz w:val="20"/>
          <w:szCs w:val="20"/>
          <w:lang w:eastAsia="ru-RU"/>
        </w:rPr>
      </w:r>
    </w:p>
    <w:p>
      <w:pPr>
        <w:pStyle w:val="Normal"/>
        <w:numPr>
          <w:ilvl w:val="0"/>
          <w:numId w:val="0"/>
        </w:numPr>
        <w:bidi w:val="0"/>
        <w:spacing w:lineRule="auto" w:line="240" w:before="0" w:after="0"/>
        <w:ind w:hanging="0" w:start="0" w:end="0"/>
        <w:jc w:val="both"/>
        <w:outlineLvl w:val="1"/>
        <w:rPr>
          <w:rFonts w:ascii="Arial" w:hAnsi="Arial" w:cs="Arial"/>
          <w:sz w:val="20"/>
          <w:szCs w:val="20"/>
          <w:lang w:eastAsia="ru-RU"/>
        </w:rPr>
      </w:pPr>
      <w:r>
        <w:rPr>
          <w:rFonts w:cs="Arial" w:ascii="Arial" w:hAnsi="Arial"/>
          <w:sz w:val="20"/>
          <w:szCs w:val="20"/>
          <w:lang w:eastAsia="ru-RU"/>
        </w:rPr>
        <w:t>Мирсияпов Ришад Рашидович, директор – председатель Центральной закупочной комиссии</w:t>
      </w:r>
    </w:p>
    <w:p>
      <w:pPr>
        <w:pStyle w:val="Normal"/>
        <w:numPr>
          <w:ilvl w:val="0"/>
          <w:numId w:val="0"/>
        </w:numPr>
        <w:bidi w:val="0"/>
        <w:spacing w:lineRule="auto" w:line="240" w:before="0" w:after="0"/>
        <w:ind w:hanging="0" w:start="0" w:end="0"/>
        <w:jc w:val="both"/>
        <w:outlineLvl w:val="1"/>
        <w:rPr>
          <w:rFonts w:ascii="Arial" w:hAnsi="Arial" w:cs="Arial"/>
          <w:sz w:val="20"/>
          <w:szCs w:val="20"/>
          <w:lang w:eastAsia="ru-RU"/>
        </w:rPr>
      </w:pPr>
      <w:r>
        <w:rPr>
          <w:rFonts w:cs="Arial" w:ascii="Arial" w:hAnsi="Arial"/>
          <w:sz w:val="20"/>
          <w:szCs w:val="20"/>
          <w:lang w:eastAsia="ru-RU"/>
        </w:rPr>
      </w:r>
    </w:p>
    <w:p>
      <w:pPr>
        <w:pStyle w:val="Normal"/>
        <w:numPr>
          <w:ilvl w:val="0"/>
          <w:numId w:val="0"/>
        </w:numPr>
        <w:bidi w:val="0"/>
        <w:spacing w:lineRule="auto" w:line="240" w:before="0" w:after="0"/>
        <w:ind w:hanging="0" w:start="0" w:end="0"/>
        <w:jc w:val="both"/>
        <w:outlineLvl w:val="1"/>
        <w:rPr>
          <w:rFonts w:ascii="Arial" w:hAnsi="Arial" w:cs="Arial"/>
          <w:sz w:val="20"/>
          <w:szCs w:val="20"/>
          <w:lang w:eastAsia="ru-RU"/>
        </w:rPr>
      </w:pPr>
      <w:r>
        <w:rPr>
          <w:rFonts w:cs="Arial" w:ascii="Arial" w:hAnsi="Arial"/>
          <w:sz w:val="20"/>
          <w:szCs w:val="20"/>
          <w:lang w:eastAsia="ru-RU"/>
        </w:rPr>
        <w:t>Члены Центральной закупочной комиссии:</w:t>
      </w:r>
    </w:p>
    <w:p>
      <w:pPr>
        <w:pStyle w:val="Normal"/>
        <w:numPr>
          <w:ilvl w:val="0"/>
          <w:numId w:val="0"/>
        </w:numPr>
        <w:bidi w:val="0"/>
        <w:spacing w:lineRule="auto" w:line="240" w:before="0" w:after="0"/>
        <w:ind w:hanging="0" w:start="0" w:end="0"/>
        <w:jc w:val="both"/>
        <w:outlineLvl w:val="1"/>
        <w:rPr>
          <w:rFonts w:ascii="Arial" w:hAnsi="Arial" w:cs="Arial"/>
          <w:sz w:val="20"/>
          <w:szCs w:val="20"/>
          <w:lang w:eastAsia="ru-RU"/>
        </w:rPr>
      </w:pPr>
      <w:r>
        <w:rPr>
          <w:rFonts w:cs="Arial" w:ascii="Arial" w:hAnsi="Arial"/>
          <w:sz w:val="20"/>
          <w:szCs w:val="20"/>
          <w:lang w:eastAsia="ru-RU"/>
        </w:rPr>
      </w:r>
    </w:p>
    <w:p>
      <w:pPr>
        <w:pStyle w:val="Normal"/>
        <w:numPr>
          <w:ilvl w:val="0"/>
          <w:numId w:val="0"/>
        </w:numPr>
        <w:bidi w:val="0"/>
        <w:spacing w:lineRule="auto" w:line="240" w:before="0" w:after="0"/>
        <w:ind w:hanging="0" w:start="0" w:end="0"/>
        <w:jc w:val="both"/>
        <w:outlineLvl w:val="1"/>
        <w:rPr>
          <w:rFonts w:ascii="Arial" w:hAnsi="Arial" w:cs="Arial"/>
          <w:sz w:val="20"/>
          <w:szCs w:val="20"/>
          <w:lang w:eastAsia="ru-RU"/>
        </w:rPr>
      </w:pPr>
      <w:r>
        <w:rPr>
          <w:rFonts w:cs="Arial" w:ascii="Arial" w:hAnsi="Arial"/>
          <w:sz w:val="20"/>
          <w:szCs w:val="20"/>
          <w:lang w:eastAsia="ru-RU"/>
        </w:rPr>
        <w:t>Галиуллин Эдуард Зиннурович, заместитель директора по производству</w:t>
      </w:r>
    </w:p>
    <w:p>
      <w:pPr>
        <w:pStyle w:val="Normal"/>
        <w:numPr>
          <w:ilvl w:val="0"/>
          <w:numId w:val="0"/>
        </w:numPr>
        <w:bidi w:val="0"/>
        <w:spacing w:lineRule="auto" w:line="240" w:before="0" w:after="0"/>
        <w:ind w:hanging="0" w:start="0" w:end="0"/>
        <w:jc w:val="both"/>
        <w:outlineLvl w:val="1"/>
        <w:rPr>
          <w:rFonts w:ascii="Arial" w:hAnsi="Arial" w:cs="Arial"/>
          <w:sz w:val="20"/>
          <w:szCs w:val="20"/>
          <w:lang w:eastAsia="ru-RU"/>
        </w:rPr>
      </w:pPr>
      <w:r>
        <w:rPr>
          <w:rFonts w:cs="Arial" w:ascii="Arial" w:hAnsi="Arial"/>
          <w:sz w:val="20"/>
          <w:szCs w:val="20"/>
          <w:lang w:eastAsia="ru-RU"/>
        </w:rPr>
        <w:t>Бесхлебная Наталья Сергеевна, заместитель директора по экономике и ценообразованию</w:t>
      </w:r>
    </w:p>
    <w:p>
      <w:pPr>
        <w:pStyle w:val="Normal"/>
        <w:numPr>
          <w:ilvl w:val="0"/>
          <w:numId w:val="0"/>
        </w:numPr>
        <w:bidi w:val="0"/>
        <w:spacing w:lineRule="auto" w:line="240" w:before="0" w:after="0"/>
        <w:ind w:hanging="0" w:start="0" w:end="0"/>
        <w:jc w:val="both"/>
        <w:outlineLvl w:val="1"/>
        <w:rPr>
          <w:rFonts w:ascii="Arial" w:hAnsi="Arial" w:cs="Arial"/>
          <w:sz w:val="20"/>
          <w:szCs w:val="20"/>
          <w:lang w:eastAsia="ru-RU"/>
        </w:rPr>
      </w:pPr>
      <w:r>
        <w:rPr>
          <w:rFonts w:cs="Arial" w:ascii="Arial" w:hAnsi="Arial"/>
          <w:sz w:val="20"/>
          <w:szCs w:val="20"/>
          <w:lang w:eastAsia="ru-RU"/>
        </w:rPr>
        <w:t>Давлетшина Елена Николаевна, главный бухгалтер – начальник отдела бухгалтерского учета и налогообложения</w:t>
      </w:r>
    </w:p>
    <w:p>
      <w:pPr>
        <w:pStyle w:val="Normal"/>
        <w:numPr>
          <w:ilvl w:val="0"/>
          <w:numId w:val="0"/>
        </w:numPr>
        <w:bidi w:val="0"/>
        <w:spacing w:lineRule="auto" w:line="240" w:before="0" w:after="0"/>
        <w:ind w:hanging="0" w:start="0" w:end="0"/>
        <w:jc w:val="both"/>
        <w:outlineLvl w:val="1"/>
        <w:rPr>
          <w:rFonts w:ascii="Arial" w:hAnsi="Arial" w:cs="Arial"/>
          <w:sz w:val="20"/>
          <w:szCs w:val="20"/>
          <w:lang w:eastAsia="ru-RU"/>
        </w:rPr>
      </w:pPr>
      <w:r>
        <w:rPr>
          <w:rFonts w:cs="Arial" w:ascii="Arial" w:hAnsi="Arial"/>
          <w:sz w:val="20"/>
          <w:szCs w:val="20"/>
          <w:lang w:eastAsia="ru-RU"/>
        </w:rPr>
        <w:t>Миннебаева Лилия Равильевна, заместитель начальника коммерческого отдела</w:t>
      </w:r>
    </w:p>
    <w:p>
      <w:pPr>
        <w:pStyle w:val="Normal"/>
        <w:numPr>
          <w:ilvl w:val="0"/>
          <w:numId w:val="0"/>
        </w:numPr>
        <w:bidi w:val="0"/>
        <w:spacing w:lineRule="auto" w:line="240" w:before="0" w:after="0"/>
        <w:ind w:hanging="0" w:start="0" w:end="0"/>
        <w:jc w:val="both"/>
        <w:outlineLvl w:val="1"/>
        <w:rPr>
          <w:rFonts w:ascii="Arial" w:hAnsi="Arial" w:cs="Arial"/>
          <w:sz w:val="20"/>
          <w:szCs w:val="20"/>
          <w:lang w:eastAsia="ru-RU"/>
        </w:rPr>
      </w:pPr>
      <w:r>
        <w:rPr>
          <w:rFonts w:cs="Arial" w:ascii="Arial" w:hAnsi="Arial"/>
          <w:sz w:val="20"/>
          <w:szCs w:val="20"/>
          <w:lang w:eastAsia="ru-RU"/>
        </w:rPr>
        <w:t>Атнагулов Руслан Мелсович, главный специалист (по правовым вопросам) – ответственный секретарь Центральной закупочной комиссии</w:t>
      </w:r>
    </w:p>
    <w:p>
      <w:pPr>
        <w:pStyle w:val="Normal"/>
        <w:numPr>
          <w:ilvl w:val="0"/>
          <w:numId w:val="0"/>
        </w:numPr>
        <w:bidi w:val="0"/>
        <w:spacing w:lineRule="auto" w:line="240" w:before="0" w:after="0"/>
        <w:ind w:hanging="0" w:start="0" w:end="0"/>
        <w:jc w:val="both"/>
        <w:outlineLvl w:val="1"/>
        <w:rPr>
          <w:rFonts w:ascii="Arial" w:hAnsi="Arial" w:cs="Arial"/>
          <w:sz w:val="20"/>
          <w:szCs w:val="20"/>
          <w:lang w:eastAsia="ru-RU"/>
        </w:rPr>
      </w:pPr>
      <w:r>
        <w:rPr>
          <w:rFonts w:cs="Arial" w:ascii="Arial" w:hAnsi="Arial"/>
          <w:sz w:val="20"/>
          <w:szCs w:val="20"/>
          <w:lang w:eastAsia="ru-RU"/>
        </w:rPr>
      </w:r>
    </w:p>
    <w:p>
      <w:pPr>
        <w:pStyle w:val="Normal"/>
        <w:numPr>
          <w:ilvl w:val="0"/>
          <w:numId w:val="0"/>
        </w:numPr>
        <w:bidi w:val="0"/>
        <w:spacing w:lineRule="auto" w:line="240" w:before="0" w:after="0"/>
        <w:ind w:hanging="0" w:start="0" w:end="0"/>
        <w:jc w:val="both"/>
        <w:outlineLvl w:val="1"/>
        <w:rPr>
          <w:rFonts w:ascii="Arial" w:hAnsi="Arial" w:cs="Arial"/>
          <w:sz w:val="20"/>
          <w:szCs w:val="20"/>
          <w:lang w:eastAsia="ru-RU"/>
        </w:rPr>
      </w:pPr>
      <w:r>
        <w:rPr>
          <w:rFonts w:cs="Arial" w:ascii="Arial" w:hAnsi="Arial"/>
          <w:sz w:val="20"/>
          <w:szCs w:val="20"/>
          <w:lang w:eastAsia="ru-RU"/>
        </w:rPr>
        <w:t>Отсутствовали:</w:t>
      </w:r>
    </w:p>
    <w:p>
      <w:pPr>
        <w:pStyle w:val="Normal"/>
        <w:numPr>
          <w:ilvl w:val="0"/>
          <w:numId w:val="0"/>
        </w:numPr>
        <w:bidi w:val="0"/>
        <w:spacing w:lineRule="auto" w:line="240" w:before="0" w:after="0"/>
        <w:ind w:hanging="0" w:start="0" w:end="0"/>
        <w:jc w:val="both"/>
        <w:outlineLvl w:val="1"/>
        <w:rPr>
          <w:rFonts w:ascii="Arial" w:hAnsi="Arial" w:cs="Arial"/>
          <w:sz w:val="20"/>
          <w:szCs w:val="20"/>
          <w:lang w:eastAsia="ru-RU"/>
        </w:rPr>
      </w:pPr>
      <w:r>
        <w:rPr>
          <w:rFonts w:cs="Arial" w:ascii="Arial" w:hAnsi="Arial"/>
          <w:sz w:val="20"/>
          <w:szCs w:val="20"/>
          <w:lang w:eastAsia="ru-RU"/>
        </w:rPr>
      </w:r>
    </w:p>
    <w:p>
      <w:pPr>
        <w:pStyle w:val="Normal"/>
        <w:numPr>
          <w:ilvl w:val="0"/>
          <w:numId w:val="0"/>
        </w:numPr>
        <w:bidi w:val="0"/>
        <w:spacing w:lineRule="auto" w:line="240" w:before="0" w:after="0"/>
        <w:ind w:hanging="0" w:start="0" w:end="0"/>
        <w:jc w:val="both"/>
        <w:outlineLvl w:val="1"/>
        <w:rPr>
          <w:rFonts w:ascii="Arial" w:hAnsi="Arial" w:cs="Arial"/>
          <w:sz w:val="20"/>
          <w:szCs w:val="20"/>
          <w:lang w:eastAsia="ru-RU"/>
        </w:rPr>
      </w:pPr>
      <w:r>
        <w:rPr>
          <w:rFonts w:cs="Arial" w:ascii="Arial" w:hAnsi="Arial"/>
          <w:sz w:val="20"/>
          <w:szCs w:val="20"/>
          <w:lang w:eastAsia="ru-RU"/>
        </w:rPr>
        <w:t>Сергеев Евгений Михайлович, начальник коммерческого отдела</w:t>
      </w:r>
    </w:p>
    <w:p>
      <w:pPr>
        <w:pStyle w:val="Normal"/>
        <w:numPr>
          <w:ilvl w:val="0"/>
          <w:numId w:val="0"/>
        </w:numPr>
        <w:bidi w:val="0"/>
        <w:spacing w:lineRule="auto" w:line="240" w:before="0" w:after="0"/>
        <w:ind w:hanging="0" w:start="0" w:end="0"/>
        <w:jc w:val="both"/>
        <w:outlineLvl w:val="1"/>
        <w:rPr>
          <w:rFonts w:ascii="Arial" w:hAnsi="Arial" w:cs="Arial"/>
          <w:sz w:val="20"/>
          <w:szCs w:val="20"/>
          <w:lang w:eastAsia="ru-RU"/>
        </w:rPr>
      </w:pPr>
      <w:r>
        <w:rPr>
          <w:rFonts w:cs="Arial" w:ascii="Arial" w:hAnsi="Arial"/>
          <w:sz w:val="20"/>
          <w:szCs w:val="20"/>
          <w:lang w:eastAsia="ru-RU"/>
        </w:rPr>
      </w:r>
    </w:p>
    <w:p>
      <w:pPr>
        <w:pStyle w:val="Normal"/>
        <w:numPr>
          <w:ilvl w:val="0"/>
          <w:numId w:val="0"/>
        </w:numPr>
        <w:bidi w:val="0"/>
        <w:spacing w:lineRule="auto" w:line="240" w:before="0" w:after="0"/>
        <w:ind w:hanging="0" w:start="0" w:end="0"/>
        <w:jc w:val="both"/>
        <w:outlineLvl w:val="1"/>
        <w:rPr>
          <w:rFonts w:ascii="Arial" w:hAnsi="Arial" w:cs="Arial"/>
          <w:sz w:val="20"/>
          <w:szCs w:val="20"/>
          <w:lang w:eastAsia="ru-RU"/>
        </w:rPr>
      </w:pPr>
      <w:r>
        <w:rPr>
          <w:rFonts w:cs="Arial" w:ascii="Arial" w:hAnsi="Arial"/>
          <w:sz w:val="20"/>
          <w:szCs w:val="20"/>
          <w:lang w:eastAsia="ru-RU"/>
        </w:rPr>
        <w:t>Кворум для проведения заседания комиссии имеется.</w:t>
      </w:r>
    </w:p>
    <w:p>
      <w:pPr>
        <w:pStyle w:val="Normal"/>
        <w:numPr>
          <w:ilvl w:val="0"/>
          <w:numId w:val="0"/>
        </w:numPr>
        <w:bidi w:val="0"/>
        <w:spacing w:lineRule="auto" w:line="240" w:before="0" w:after="0"/>
        <w:ind w:hanging="0" w:start="0" w:end="0"/>
        <w:jc w:val="both"/>
        <w:outlineLvl w:val="1"/>
        <w:rPr>
          <w:rFonts w:ascii="Arial" w:hAnsi="Arial" w:cs="Arial"/>
          <w:sz w:val="20"/>
          <w:szCs w:val="20"/>
          <w:lang w:eastAsia="ru-RU"/>
        </w:rPr>
      </w:pPr>
      <w:r>
        <w:rPr>
          <w:rFonts w:cs="Arial" w:ascii="Arial" w:hAnsi="Arial"/>
          <w:sz w:val="20"/>
          <w:szCs w:val="20"/>
          <w:lang w:eastAsia="ru-RU"/>
        </w:rPr>
      </w:r>
    </w:p>
    <w:p>
      <w:pPr>
        <w:pStyle w:val="Normal"/>
        <w:numPr>
          <w:ilvl w:val="0"/>
          <w:numId w:val="0"/>
        </w:numPr>
        <w:tabs>
          <w:tab w:val="clear" w:pos="708"/>
          <w:tab w:val="left" w:pos="7770" w:leader="none"/>
        </w:tabs>
        <w:bidi w:val="0"/>
        <w:spacing w:lineRule="auto" w:line="240" w:before="0" w:after="0"/>
        <w:ind w:hanging="0" w:start="0" w:end="0"/>
        <w:jc w:val="both"/>
        <w:outlineLvl w:val="1"/>
        <w:rPr>
          <w:rFonts w:ascii="Arial" w:hAnsi="Arial" w:cs="Arial"/>
          <w:sz w:val="20"/>
          <w:szCs w:val="20"/>
          <w:lang w:eastAsia="ru-RU"/>
        </w:rPr>
      </w:pPr>
      <w:r>
        <w:rPr>
          <w:rFonts w:cs="Arial" w:ascii="Arial" w:hAnsi="Arial"/>
          <w:sz w:val="20"/>
          <w:szCs w:val="20"/>
          <w:lang w:eastAsia="ru-RU"/>
        </w:rPr>
        <w:t>Приглашены:</w:t>
      </w:r>
    </w:p>
    <w:p>
      <w:pPr>
        <w:pStyle w:val="Normal"/>
        <w:numPr>
          <w:ilvl w:val="0"/>
          <w:numId w:val="0"/>
        </w:numPr>
        <w:tabs>
          <w:tab w:val="clear" w:pos="708"/>
          <w:tab w:val="left" w:pos="7770" w:leader="none"/>
        </w:tabs>
        <w:bidi w:val="0"/>
        <w:spacing w:lineRule="auto" w:line="240" w:before="0" w:after="0"/>
        <w:ind w:hanging="0" w:start="0" w:end="0"/>
        <w:jc w:val="both"/>
        <w:outlineLvl w:val="1"/>
        <w:rPr>
          <w:rFonts w:ascii="Arial" w:hAnsi="Arial" w:cs="Arial"/>
          <w:sz w:val="20"/>
          <w:szCs w:val="20"/>
          <w:lang w:eastAsia="ru-RU"/>
        </w:rPr>
      </w:pPr>
      <w:r>
        <w:rPr>
          <w:rFonts w:cs="Arial" w:ascii="Arial" w:hAnsi="Arial"/>
          <w:sz w:val="20"/>
          <w:szCs w:val="20"/>
          <w:lang w:eastAsia="ru-RU"/>
        </w:rPr>
      </w:r>
    </w:p>
    <w:p>
      <w:pPr>
        <w:pStyle w:val="Normal"/>
        <w:numPr>
          <w:ilvl w:val="0"/>
          <w:numId w:val="0"/>
        </w:numPr>
        <w:bidi w:val="0"/>
        <w:spacing w:lineRule="auto" w:line="240" w:before="0" w:after="0"/>
        <w:ind w:hanging="0" w:start="0" w:end="0"/>
        <w:jc w:val="both"/>
        <w:outlineLvl w:val="1"/>
        <w:rPr>
          <w:rFonts w:ascii="Arial" w:hAnsi="Arial" w:cs="Arial"/>
          <w:sz w:val="20"/>
          <w:szCs w:val="20"/>
          <w:lang w:eastAsia="ru-RU"/>
        </w:rPr>
      </w:pPr>
      <w:r>
        <w:rPr>
          <w:rFonts w:cs="Arial" w:ascii="Arial" w:hAnsi="Arial"/>
          <w:sz w:val="20"/>
          <w:szCs w:val="20"/>
          <w:lang w:eastAsia="ru-RU"/>
        </w:rPr>
        <w:t>Аксенов Николай Владимирович, начальник производственно-технического отдела ООО</w:t>
      </w:r>
      <w:r>
        <w:rPr>
          <w:rFonts w:cs="Arial" w:ascii="Arial" w:hAnsi="Arial"/>
          <w:bCs/>
          <w:sz w:val="20"/>
          <w:szCs w:val="20"/>
          <w:lang w:eastAsia="ru-RU"/>
        </w:rPr>
        <w:t> </w:t>
      </w:r>
      <w:r>
        <w:rPr>
          <w:rFonts w:cs="Arial" w:ascii="Arial" w:hAnsi="Arial"/>
          <w:sz w:val="20"/>
          <w:szCs w:val="20"/>
          <w:lang w:eastAsia="ru-RU"/>
        </w:rPr>
        <w:t>«ТатАИСЭнерго»</w:t>
      </w:r>
    </w:p>
    <w:p>
      <w:pPr>
        <w:pStyle w:val="Normal"/>
        <w:numPr>
          <w:ilvl w:val="0"/>
          <w:numId w:val="0"/>
        </w:numPr>
        <w:tabs>
          <w:tab w:val="clear" w:pos="708"/>
          <w:tab w:val="left" w:pos="8355" w:leader="none"/>
        </w:tabs>
        <w:bidi w:val="0"/>
        <w:spacing w:lineRule="auto" w:line="240" w:before="0" w:after="0"/>
        <w:ind w:hanging="0" w:start="0" w:end="0"/>
        <w:jc w:val="both"/>
        <w:outlineLvl w:val="1"/>
        <w:rPr>
          <w:rFonts w:ascii="Arial" w:hAnsi="Arial" w:cs="Arial"/>
          <w:sz w:val="20"/>
          <w:szCs w:val="20"/>
          <w:lang w:eastAsia="ru-RU"/>
        </w:rPr>
      </w:pPr>
      <w:r>
        <w:rPr>
          <w:rFonts w:cs="Arial" w:ascii="Arial" w:hAnsi="Arial"/>
          <w:sz w:val="20"/>
          <w:szCs w:val="20"/>
          <w:lang w:eastAsia="ru-RU"/>
        </w:rPr>
      </w:r>
    </w:p>
    <w:p>
      <w:pPr>
        <w:pStyle w:val="Normal"/>
        <w:numPr>
          <w:ilvl w:val="0"/>
          <w:numId w:val="0"/>
        </w:numPr>
        <w:bidi w:val="0"/>
        <w:spacing w:lineRule="auto" w:line="240" w:before="0" w:after="0"/>
        <w:ind w:hanging="0" w:start="0" w:end="0"/>
        <w:jc w:val="both"/>
        <w:outlineLvl w:val="1"/>
        <w:rPr>
          <w:rFonts w:ascii="Arial" w:hAnsi="Arial" w:cs="Arial"/>
          <w:sz w:val="20"/>
          <w:szCs w:val="20"/>
          <w:lang w:eastAsia="ru-RU"/>
        </w:rPr>
      </w:pPr>
      <w:r>
        <w:rPr>
          <w:rFonts w:cs="Arial" w:ascii="Arial" w:hAnsi="Arial"/>
          <w:sz w:val="20"/>
          <w:szCs w:val="20"/>
          <w:lang w:eastAsia="ru-RU"/>
        </w:rPr>
        <w:t>Дата и время проведения запроса котировок в электронной форме</w:t>
      </w:r>
    </w:p>
    <w:p>
      <w:pPr>
        <w:pStyle w:val="Normal"/>
        <w:numPr>
          <w:ilvl w:val="0"/>
          <w:numId w:val="0"/>
        </w:numPr>
        <w:bidi w:val="0"/>
        <w:spacing w:lineRule="auto" w:line="240" w:before="0" w:after="0"/>
        <w:ind w:hanging="0" w:start="0" w:end="0"/>
        <w:jc w:val="both"/>
        <w:outlineLvl w:val="1"/>
        <w:rPr>
          <w:rFonts w:ascii="Arial" w:hAnsi="Arial" w:cs="Arial"/>
          <w:bCs/>
          <w:sz w:val="20"/>
          <w:szCs w:val="20"/>
          <w:lang w:eastAsia="ru-RU"/>
        </w:rPr>
      </w:pPr>
      <w:r>
        <w:rPr>
          <w:rFonts w:cs="Arial" w:ascii="Arial" w:hAnsi="Arial"/>
          <w:bCs/>
          <w:sz w:val="20"/>
          <w:szCs w:val="20"/>
          <w:lang w:eastAsia="ru-RU"/>
        </w:rPr>
      </w:r>
    </w:p>
    <w:p>
      <w:pPr>
        <w:pStyle w:val="Normal"/>
        <w:numPr>
          <w:ilvl w:val="0"/>
          <w:numId w:val="0"/>
        </w:numPr>
        <w:bidi w:val="0"/>
        <w:spacing w:lineRule="auto" w:line="240" w:before="0" w:after="0"/>
        <w:ind w:hanging="0" w:start="0" w:end="0"/>
        <w:jc w:val="both"/>
        <w:outlineLvl w:val="1"/>
        <w:rPr>
          <w:rFonts w:ascii="Arial" w:hAnsi="Arial" w:cs="Arial"/>
          <w:kern w:val="2"/>
          <w:sz w:val="20"/>
          <w:szCs w:val="20"/>
          <w:lang w:eastAsia="ru-RU"/>
        </w:rPr>
      </w:pPr>
      <w:r>
        <w:rPr>
          <w:rFonts w:cs="Arial" w:ascii="Arial" w:hAnsi="Arial"/>
          <w:bCs/>
          <w:sz w:val="20"/>
          <w:szCs w:val="20"/>
          <w:lang w:eastAsia="ru-RU"/>
        </w:rPr>
        <w:t xml:space="preserve">Извещение о закупке </w:t>
      </w:r>
      <w:r>
        <w:rPr>
          <w:rFonts w:cs="Arial" w:ascii="Arial" w:hAnsi="Arial"/>
          <w:kern w:val="2"/>
          <w:sz w:val="20"/>
          <w:szCs w:val="20"/>
          <w:lang w:eastAsia="ru-RU"/>
        </w:rPr>
        <w:t>№</w:t>
      </w:r>
      <w:r>
        <w:rPr>
          <w:rFonts w:cs="Arial" w:ascii="Arial" w:hAnsi="Arial"/>
          <w:sz w:val="20"/>
          <w:szCs w:val="20"/>
          <w:lang w:eastAsia="ru-RU"/>
        </w:rPr>
        <w:t> </w:t>
      </w:r>
      <w:r>
        <w:rPr>
          <w:rFonts w:cs="Arial" w:ascii="Arial" w:hAnsi="Arial"/>
          <w:kern w:val="2"/>
          <w:sz w:val="20"/>
          <w:szCs w:val="20"/>
          <w:lang w:eastAsia="ru-RU"/>
        </w:rPr>
        <w:t xml:space="preserve">2025-02-МСП открыто размещено на официальном сайте ЕИС в сети Интернет, и на электронной торговой площадке </w:t>
      </w:r>
      <w:r>
        <w:rPr>
          <w:rFonts w:cs="Arial" w:ascii="Arial" w:hAnsi="Arial"/>
          <w:sz w:val="20"/>
          <w:szCs w:val="20"/>
        </w:rPr>
        <w:t>http://223</w:t>
      </w:r>
      <w:r>
        <w:rPr>
          <w:rFonts w:cs="Arial" w:ascii="Arial" w:hAnsi="Arial"/>
          <w:sz w:val="20"/>
          <w:szCs w:val="20"/>
          <w:lang w:val="en-US"/>
        </w:rPr>
        <w:t>etp</w:t>
      </w:r>
      <w:r>
        <w:rPr>
          <w:rFonts w:cs="Arial" w:ascii="Arial" w:hAnsi="Arial"/>
          <w:sz w:val="20"/>
          <w:szCs w:val="20"/>
        </w:rPr>
        <w:t>.</w:t>
      </w:r>
      <w:r>
        <w:rPr>
          <w:rFonts w:cs="Arial" w:ascii="Arial" w:hAnsi="Arial"/>
          <w:sz w:val="20"/>
          <w:szCs w:val="20"/>
          <w:lang w:val="en-US"/>
        </w:rPr>
        <w:t>zakazrf</w:t>
      </w:r>
      <w:r>
        <w:rPr>
          <w:rFonts w:cs="Arial" w:ascii="Arial" w:hAnsi="Arial"/>
          <w:sz w:val="20"/>
          <w:szCs w:val="20"/>
        </w:rPr>
        <w:t>.ru/</w:t>
      </w:r>
      <w:r>
        <w:rPr>
          <w:rFonts w:cs="Arial" w:ascii="Arial" w:hAnsi="Arial"/>
          <w:sz w:val="20"/>
          <w:szCs w:val="20"/>
          <w:lang w:eastAsia="ru-RU"/>
        </w:rPr>
        <w:t xml:space="preserve"> «21» февраля 2025 г.</w:t>
      </w:r>
    </w:p>
    <w:p>
      <w:pPr>
        <w:pStyle w:val="Normal"/>
        <w:numPr>
          <w:ilvl w:val="0"/>
          <w:numId w:val="0"/>
        </w:numPr>
        <w:bidi w:val="0"/>
        <w:spacing w:lineRule="auto" w:line="240" w:before="0" w:after="0"/>
        <w:ind w:hanging="0" w:start="0" w:end="0"/>
        <w:jc w:val="both"/>
        <w:outlineLvl w:val="1"/>
        <w:rPr>
          <w:rFonts w:ascii="Arial" w:hAnsi="Arial" w:cs="Arial"/>
          <w:kern w:val="2"/>
          <w:sz w:val="20"/>
          <w:szCs w:val="20"/>
          <w:lang w:eastAsia="ru-RU"/>
        </w:rPr>
      </w:pPr>
      <w:r>
        <w:rPr>
          <w:rFonts w:cs="Arial" w:ascii="Arial" w:hAnsi="Arial"/>
          <w:kern w:val="2"/>
          <w:sz w:val="20"/>
          <w:szCs w:val="20"/>
          <w:lang w:eastAsia="ru-RU"/>
        </w:rPr>
      </w:r>
    </w:p>
    <w:p>
      <w:pPr>
        <w:pStyle w:val="Normal"/>
        <w:numPr>
          <w:ilvl w:val="0"/>
          <w:numId w:val="0"/>
        </w:numPr>
        <w:bidi w:val="0"/>
        <w:spacing w:lineRule="auto" w:line="240" w:before="0" w:after="0"/>
        <w:ind w:hanging="0" w:start="0" w:end="0"/>
        <w:jc w:val="both"/>
        <w:outlineLvl w:val="1"/>
        <w:rPr>
          <w:rFonts w:ascii="Arial" w:hAnsi="Arial" w:cs="Arial"/>
          <w:kern w:val="2"/>
          <w:sz w:val="20"/>
          <w:szCs w:val="20"/>
          <w:lang w:eastAsia="ru-RU"/>
        </w:rPr>
      </w:pPr>
      <w:r>
        <w:rPr>
          <w:rFonts w:cs="Arial" w:ascii="Arial" w:hAnsi="Arial"/>
          <w:kern w:val="2"/>
          <w:sz w:val="20"/>
          <w:szCs w:val="20"/>
          <w:lang w:eastAsia="ru-RU"/>
        </w:rPr>
        <w:t xml:space="preserve">Дата, время и место начала приема заявок участников: с 12:00 по московскому времени </w:t>
      </w:r>
      <w:r>
        <w:rPr>
          <w:rFonts w:cs="Arial" w:ascii="Arial" w:hAnsi="Arial"/>
          <w:sz w:val="20"/>
          <w:szCs w:val="20"/>
          <w:lang w:eastAsia="ru-RU"/>
        </w:rPr>
        <w:t>«21» февраля 2025 г.</w:t>
      </w:r>
      <w:r>
        <w:rPr>
          <w:rFonts w:cs="Arial" w:ascii="Arial" w:hAnsi="Arial"/>
          <w:kern w:val="2"/>
          <w:sz w:val="20"/>
          <w:szCs w:val="20"/>
          <w:lang w:eastAsia="ru-RU"/>
        </w:rPr>
        <w:t xml:space="preserve"> </w:t>
      </w:r>
      <w:r>
        <w:rPr>
          <w:rFonts w:cs="Arial" w:ascii="Arial" w:hAnsi="Arial"/>
          <w:sz w:val="20"/>
          <w:szCs w:val="20"/>
          <w:lang w:eastAsia="ru-RU"/>
        </w:rPr>
        <w:t xml:space="preserve">на электронной торговой площадке </w:t>
      </w:r>
      <w:r>
        <w:rPr>
          <w:rFonts w:cs="Arial" w:ascii="Arial" w:hAnsi="Arial"/>
          <w:sz w:val="20"/>
          <w:szCs w:val="20"/>
        </w:rPr>
        <w:t>http://223</w:t>
      </w:r>
      <w:r>
        <w:rPr>
          <w:rFonts w:cs="Arial" w:ascii="Arial" w:hAnsi="Arial"/>
          <w:sz w:val="20"/>
          <w:szCs w:val="20"/>
          <w:lang w:val="en-US"/>
        </w:rPr>
        <w:t>etp</w:t>
      </w:r>
      <w:r>
        <w:rPr>
          <w:rFonts w:cs="Arial" w:ascii="Arial" w:hAnsi="Arial"/>
          <w:sz w:val="20"/>
          <w:szCs w:val="20"/>
        </w:rPr>
        <w:t>.</w:t>
      </w:r>
      <w:r>
        <w:rPr>
          <w:rFonts w:cs="Arial" w:ascii="Arial" w:hAnsi="Arial"/>
          <w:sz w:val="20"/>
          <w:szCs w:val="20"/>
          <w:lang w:val="en-US"/>
        </w:rPr>
        <w:t>zakazrf</w:t>
      </w:r>
      <w:r>
        <w:rPr>
          <w:rFonts w:cs="Arial" w:ascii="Arial" w:hAnsi="Arial"/>
          <w:sz w:val="20"/>
          <w:szCs w:val="20"/>
        </w:rPr>
        <w:t>.ru/</w:t>
      </w:r>
    </w:p>
    <w:p>
      <w:pPr>
        <w:pStyle w:val="Normal"/>
        <w:numPr>
          <w:ilvl w:val="0"/>
          <w:numId w:val="0"/>
        </w:numPr>
        <w:bidi w:val="0"/>
        <w:spacing w:lineRule="auto" w:line="240" w:before="0" w:after="0"/>
        <w:ind w:hanging="0" w:start="0" w:end="0"/>
        <w:jc w:val="both"/>
        <w:outlineLvl w:val="1"/>
        <w:rPr>
          <w:rFonts w:ascii="Arial" w:hAnsi="Arial" w:cs="Arial"/>
          <w:kern w:val="2"/>
          <w:sz w:val="20"/>
          <w:szCs w:val="20"/>
          <w:lang w:eastAsia="ru-RU"/>
        </w:rPr>
      </w:pPr>
      <w:r>
        <w:rPr>
          <w:rFonts w:cs="Arial" w:ascii="Arial" w:hAnsi="Arial"/>
          <w:kern w:val="2"/>
          <w:sz w:val="20"/>
          <w:szCs w:val="20"/>
          <w:lang w:eastAsia="ru-RU"/>
        </w:rPr>
      </w:r>
    </w:p>
    <w:p>
      <w:pPr>
        <w:pStyle w:val="Normal"/>
        <w:numPr>
          <w:ilvl w:val="0"/>
          <w:numId w:val="0"/>
        </w:numPr>
        <w:bidi w:val="0"/>
        <w:spacing w:lineRule="auto" w:line="240" w:before="0" w:after="0"/>
        <w:ind w:hanging="0" w:start="0" w:end="0"/>
        <w:jc w:val="both"/>
        <w:outlineLvl w:val="0"/>
        <w:rPr>
          <w:rFonts w:ascii="Arial" w:hAnsi="Arial" w:cs="Arial"/>
          <w:sz w:val="20"/>
          <w:szCs w:val="20"/>
          <w:lang w:eastAsia="ru-RU"/>
        </w:rPr>
      </w:pPr>
      <w:r>
        <w:rPr>
          <w:rFonts w:cs="Arial" w:ascii="Arial" w:hAnsi="Arial"/>
          <w:kern w:val="2"/>
          <w:sz w:val="20"/>
          <w:szCs w:val="20"/>
          <w:lang w:eastAsia="ru-RU"/>
        </w:rPr>
        <w:t xml:space="preserve">Дата, время и место окончания приема заявок участников: в 12.00 по московскому времени </w:t>
      </w:r>
      <w:r>
        <w:rPr>
          <w:rFonts w:cs="Arial" w:ascii="Arial" w:hAnsi="Arial"/>
          <w:sz w:val="20"/>
          <w:szCs w:val="20"/>
          <w:lang w:eastAsia="ru-RU"/>
        </w:rPr>
        <w:t>«28» февраля 2025 г.</w:t>
      </w:r>
      <w:r>
        <w:rPr>
          <w:rFonts w:cs="Arial" w:ascii="Arial" w:hAnsi="Arial"/>
          <w:kern w:val="2"/>
          <w:sz w:val="20"/>
          <w:szCs w:val="20"/>
          <w:lang w:eastAsia="ru-RU"/>
        </w:rPr>
        <w:t xml:space="preserve"> </w:t>
      </w:r>
      <w:r>
        <w:rPr>
          <w:rFonts w:cs="Arial" w:ascii="Arial" w:hAnsi="Arial"/>
          <w:sz w:val="20"/>
          <w:szCs w:val="20"/>
          <w:lang w:eastAsia="ru-RU"/>
        </w:rPr>
        <w:t xml:space="preserve">на электронной торговой площадке </w:t>
      </w:r>
      <w:r>
        <w:rPr>
          <w:rFonts w:cs="Arial" w:ascii="Arial" w:hAnsi="Arial"/>
          <w:sz w:val="20"/>
          <w:szCs w:val="20"/>
        </w:rPr>
        <w:t>http://223</w:t>
      </w:r>
      <w:r>
        <w:rPr>
          <w:rFonts w:cs="Arial" w:ascii="Arial" w:hAnsi="Arial"/>
          <w:sz w:val="20"/>
          <w:szCs w:val="20"/>
          <w:lang w:val="en-US"/>
        </w:rPr>
        <w:t>etp</w:t>
      </w:r>
      <w:r>
        <w:rPr>
          <w:rFonts w:cs="Arial" w:ascii="Arial" w:hAnsi="Arial"/>
          <w:sz w:val="20"/>
          <w:szCs w:val="20"/>
        </w:rPr>
        <w:t>.</w:t>
      </w:r>
      <w:r>
        <w:rPr>
          <w:rFonts w:cs="Arial" w:ascii="Arial" w:hAnsi="Arial"/>
          <w:sz w:val="20"/>
          <w:szCs w:val="20"/>
          <w:lang w:val="en-US"/>
        </w:rPr>
        <w:t>zakazrf</w:t>
      </w:r>
      <w:r>
        <w:rPr>
          <w:rFonts w:cs="Arial" w:ascii="Arial" w:hAnsi="Arial"/>
          <w:sz w:val="20"/>
          <w:szCs w:val="20"/>
        </w:rPr>
        <w:t>.ru/</w:t>
      </w:r>
    </w:p>
    <w:p>
      <w:pPr>
        <w:pStyle w:val="Normal"/>
        <w:numPr>
          <w:ilvl w:val="0"/>
          <w:numId w:val="0"/>
        </w:numPr>
        <w:bidi w:val="0"/>
        <w:spacing w:lineRule="auto" w:line="240" w:before="0" w:after="0"/>
        <w:ind w:hanging="0" w:start="0" w:end="0"/>
        <w:jc w:val="both"/>
        <w:outlineLvl w:val="1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numPr>
          <w:ilvl w:val="0"/>
          <w:numId w:val="0"/>
        </w:numPr>
        <w:bidi w:val="0"/>
        <w:spacing w:lineRule="auto" w:line="240" w:before="0" w:after="0"/>
        <w:ind w:hanging="0" w:start="0" w:end="0"/>
        <w:jc w:val="both"/>
        <w:outlineLvl w:val="0"/>
        <w:rPr>
          <w:rFonts w:ascii="Arial" w:hAnsi="Arial" w:cs="Arial"/>
          <w:sz w:val="20"/>
          <w:szCs w:val="20"/>
          <w:lang w:eastAsia="ru-RU"/>
        </w:rPr>
      </w:pPr>
      <w:r>
        <w:rPr>
          <w:rFonts w:cs="Arial" w:ascii="Arial" w:hAnsi="Arial"/>
          <w:kern w:val="2"/>
          <w:sz w:val="20"/>
          <w:szCs w:val="20"/>
          <w:lang w:eastAsia="ru-RU"/>
        </w:rPr>
        <w:t>Дата, время и место рассмотрения предложений участников, осуществления оценки и ранжирования заявок, и подведения итогов закупки: до 16.00 по московскому времени «03»</w:t>
      </w:r>
      <w:r>
        <w:rPr>
          <w:rFonts w:cs="Arial" w:ascii="Arial" w:hAnsi="Arial"/>
          <w:bCs/>
          <w:sz w:val="20"/>
          <w:szCs w:val="20"/>
          <w:lang w:eastAsia="ru-RU"/>
        </w:rPr>
        <w:t> </w:t>
      </w:r>
      <w:r>
        <w:rPr>
          <w:rFonts w:cs="Arial" w:ascii="Arial" w:hAnsi="Arial"/>
          <w:kern w:val="2"/>
          <w:sz w:val="20"/>
          <w:szCs w:val="20"/>
          <w:lang w:eastAsia="ru-RU"/>
        </w:rPr>
        <w:t>марта</w:t>
      </w:r>
      <w:r>
        <w:rPr>
          <w:rFonts w:cs="Arial" w:ascii="Arial" w:hAnsi="Arial"/>
          <w:bCs/>
          <w:sz w:val="20"/>
          <w:szCs w:val="20"/>
          <w:lang w:eastAsia="ru-RU"/>
        </w:rPr>
        <w:t> </w:t>
      </w:r>
      <w:r>
        <w:rPr>
          <w:rFonts w:cs="Arial" w:ascii="Arial" w:hAnsi="Arial"/>
          <w:kern w:val="2"/>
          <w:sz w:val="20"/>
          <w:szCs w:val="20"/>
          <w:lang w:eastAsia="ru-RU"/>
        </w:rPr>
        <w:t>2025</w:t>
      </w:r>
      <w:r>
        <w:rPr>
          <w:rFonts w:cs="Arial" w:ascii="Arial" w:hAnsi="Arial"/>
          <w:bCs/>
          <w:sz w:val="20"/>
          <w:szCs w:val="20"/>
          <w:lang w:eastAsia="ru-RU"/>
        </w:rPr>
        <w:t> </w:t>
      </w:r>
      <w:r>
        <w:rPr>
          <w:rFonts w:cs="Arial" w:ascii="Arial" w:hAnsi="Arial"/>
          <w:kern w:val="2"/>
          <w:sz w:val="20"/>
          <w:szCs w:val="20"/>
          <w:lang w:eastAsia="ru-RU"/>
        </w:rPr>
        <w:t>г.</w:t>
      </w:r>
      <w:r>
        <w:rPr>
          <w:rFonts w:cs="Arial" w:ascii="Arial" w:hAnsi="Arial"/>
          <w:sz w:val="20"/>
          <w:szCs w:val="20"/>
          <w:lang w:eastAsia="ru-RU"/>
        </w:rPr>
        <w:t xml:space="preserve"> по адресу: </w:t>
      </w:r>
      <w:r>
        <w:rPr>
          <w:rFonts w:cs="Arial" w:ascii="Arial" w:hAnsi="Arial"/>
          <w:bCs/>
          <w:sz w:val="20"/>
          <w:szCs w:val="20"/>
          <w:lang w:eastAsia="ru-RU"/>
        </w:rPr>
        <w:t xml:space="preserve">420107, Республика Татарстан, </w:t>
      </w:r>
      <w:r>
        <w:rPr>
          <w:rFonts w:cs="Arial" w:ascii="Arial" w:hAnsi="Arial"/>
          <w:sz w:val="20"/>
          <w:szCs w:val="20"/>
          <w:lang w:eastAsia="ru-RU"/>
        </w:rPr>
        <w:t>г.</w:t>
      </w:r>
      <w:r>
        <w:rPr>
          <w:rFonts w:cs="Arial" w:ascii="Arial" w:hAnsi="Arial"/>
          <w:bCs/>
          <w:sz w:val="20"/>
          <w:szCs w:val="20"/>
          <w:lang w:eastAsia="ru-RU"/>
        </w:rPr>
        <w:t> </w:t>
      </w:r>
      <w:r>
        <w:rPr>
          <w:rFonts w:cs="Arial" w:ascii="Arial" w:hAnsi="Arial"/>
          <w:sz w:val="20"/>
          <w:szCs w:val="20"/>
          <w:lang w:eastAsia="ru-RU"/>
        </w:rPr>
        <w:t>Казань, ул.</w:t>
      </w:r>
      <w:r>
        <w:rPr>
          <w:rFonts w:cs="Arial" w:ascii="Arial" w:hAnsi="Arial"/>
          <w:bCs/>
          <w:sz w:val="20"/>
          <w:szCs w:val="20"/>
          <w:lang w:eastAsia="ru-RU"/>
        </w:rPr>
        <w:t> </w:t>
      </w:r>
      <w:r>
        <w:rPr>
          <w:rFonts w:cs="Arial" w:ascii="Arial" w:hAnsi="Arial"/>
          <w:sz w:val="20"/>
          <w:szCs w:val="20"/>
          <w:lang w:eastAsia="ru-RU"/>
        </w:rPr>
        <w:t>Марселя Салимжанова, дом</w:t>
      </w:r>
      <w:r>
        <w:rPr>
          <w:rFonts w:cs="Arial" w:ascii="Arial" w:hAnsi="Arial"/>
          <w:bCs/>
          <w:sz w:val="20"/>
          <w:szCs w:val="20"/>
          <w:lang w:eastAsia="ru-RU"/>
        </w:rPr>
        <w:t> </w:t>
      </w:r>
      <w:r>
        <w:rPr>
          <w:rFonts w:cs="Arial" w:ascii="Arial" w:hAnsi="Arial"/>
          <w:sz w:val="20"/>
          <w:szCs w:val="20"/>
          <w:lang w:eastAsia="ru-RU"/>
        </w:rPr>
        <w:t>1, кабинет</w:t>
      </w:r>
      <w:r>
        <w:rPr>
          <w:rFonts w:cs="Arial" w:ascii="Arial" w:hAnsi="Arial"/>
          <w:bCs/>
          <w:sz w:val="20"/>
          <w:szCs w:val="20"/>
          <w:lang w:eastAsia="ru-RU"/>
        </w:rPr>
        <w:t> </w:t>
      </w:r>
      <w:r>
        <w:rPr>
          <w:rFonts w:cs="Arial" w:ascii="Arial" w:hAnsi="Arial"/>
          <w:sz w:val="20"/>
          <w:szCs w:val="20"/>
          <w:lang w:eastAsia="ru-RU"/>
        </w:rPr>
        <w:t>233</w:t>
      </w:r>
    </w:p>
    <w:p>
      <w:pPr>
        <w:pStyle w:val="Normal"/>
        <w:numPr>
          <w:ilvl w:val="0"/>
          <w:numId w:val="0"/>
        </w:numPr>
        <w:bidi w:val="0"/>
        <w:spacing w:lineRule="auto" w:line="240" w:before="0" w:after="0"/>
        <w:ind w:hanging="0" w:start="0" w:end="0"/>
        <w:jc w:val="both"/>
        <w:outlineLvl w:val="1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  <w:lang w:eastAsia="ru-RU"/>
        </w:rPr>
      </w:pPr>
      <w:r>
        <w:rPr>
          <w:rFonts w:cs="Arial" w:ascii="Arial" w:hAnsi="Arial"/>
          <w:sz w:val="20"/>
          <w:szCs w:val="20"/>
          <w:lang w:eastAsia="ru-RU"/>
        </w:rPr>
        <w:t>Сведения о заказчике:</w:t>
      </w:r>
    </w:p>
    <w:p>
      <w:pPr>
        <w:pStyle w:val="Normal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  <w:lang w:eastAsia="ru-RU"/>
        </w:rPr>
      </w:pPr>
      <w:r>
        <w:rPr>
          <w:rFonts w:cs="Arial" w:ascii="Arial" w:hAnsi="Arial"/>
          <w:sz w:val="20"/>
          <w:szCs w:val="20"/>
          <w:lang w:eastAsia="ru-RU"/>
        </w:rPr>
      </w:r>
    </w:p>
    <w:p>
      <w:pPr>
        <w:pStyle w:val="Normal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  <w:lang w:eastAsia="ru-RU"/>
        </w:rPr>
      </w:pPr>
      <w:r>
        <w:rPr>
          <w:rFonts w:cs="Arial" w:ascii="Arial" w:hAnsi="Arial"/>
          <w:sz w:val="20"/>
          <w:szCs w:val="20"/>
          <w:lang w:eastAsia="ru-RU"/>
        </w:rPr>
        <w:t xml:space="preserve">Общество с ограниченной ответственностью «Татарстан Автоматизация и связь Энерго», ИНН 1655152750, юридический адрес: </w:t>
      </w:r>
      <w:r>
        <w:rPr>
          <w:rFonts w:cs="Arial" w:ascii="Arial" w:hAnsi="Arial"/>
          <w:bCs/>
          <w:sz w:val="20"/>
          <w:szCs w:val="20"/>
          <w:lang w:eastAsia="ru-RU"/>
        </w:rPr>
        <w:t xml:space="preserve">420107, Республика Татарстан, </w:t>
      </w:r>
      <w:r>
        <w:rPr>
          <w:rFonts w:cs="Arial" w:ascii="Arial" w:hAnsi="Arial"/>
          <w:sz w:val="20"/>
          <w:szCs w:val="20"/>
          <w:lang w:eastAsia="ru-RU"/>
        </w:rPr>
        <w:t>г.</w:t>
      </w:r>
      <w:r>
        <w:rPr>
          <w:rFonts w:cs="Arial" w:ascii="Arial" w:hAnsi="Arial"/>
          <w:bCs/>
          <w:sz w:val="20"/>
          <w:szCs w:val="20"/>
          <w:lang w:eastAsia="ru-RU"/>
        </w:rPr>
        <w:t> </w:t>
      </w:r>
      <w:r>
        <w:rPr>
          <w:rFonts w:cs="Arial" w:ascii="Arial" w:hAnsi="Arial"/>
          <w:sz w:val="20"/>
          <w:szCs w:val="20"/>
          <w:lang w:eastAsia="ru-RU"/>
        </w:rPr>
        <w:t>Казань, ул.</w:t>
      </w:r>
      <w:r>
        <w:rPr>
          <w:rFonts w:cs="Arial" w:ascii="Arial" w:hAnsi="Arial"/>
          <w:bCs/>
          <w:sz w:val="20"/>
          <w:szCs w:val="20"/>
          <w:lang w:eastAsia="ru-RU"/>
        </w:rPr>
        <w:t> </w:t>
      </w:r>
      <w:r>
        <w:rPr>
          <w:rFonts w:cs="Arial" w:ascii="Arial" w:hAnsi="Arial"/>
          <w:sz w:val="20"/>
          <w:szCs w:val="20"/>
          <w:lang w:eastAsia="ru-RU"/>
        </w:rPr>
        <w:t>Марселя Салимжанова, дом</w:t>
      </w:r>
      <w:r>
        <w:rPr>
          <w:rFonts w:cs="Arial" w:ascii="Arial" w:hAnsi="Arial"/>
          <w:bCs/>
          <w:sz w:val="20"/>
          <w:szCs w:val="20"/>
          <w:lang w:eastAsia="ru-RU"/>
        </w:rPr>
        <w:t> </w:t>
      </w:r>
      <w:r>
        <w:rPr>
          <w:rFonts w:cs="Arial" w:ascii="Arial" w:hAnsi="Arial"/>
          <w:sz w:val="20"/>
          <w:szCs w:val="20"/>
          <w:lang w:eastAsia="ru-RU"/>
        </w:rPr>
        <w:t>1</w:t>
      </w:r>
    </w:p>
    <w:p>
      <w:pPr>
        <w:pStyle w:val="Normal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  <w:lang w:eastAsia="ru-RU"/>
        </w:rPr>
      </w:pPr>
      <w:r>
        <w:rPr>
          <w:rFonts w:cs="Arial" w:ascii="Arial" w:hAnsi="Arial"/>
          <w:sz w:val="20"/>
          <w:szCs w:val="20"/>
          <w:lang w:eastAsia="ru-RU"/>
        </w:rPr>
      </w:r>
    </w:p>
    <w:p>
      <w:pPr>
        <w:pStyle w:val="Normal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  <w:lang w:eastAsia="ru-RU"/>
        </w:rPr>
      </w:pPr>
      <w:r>
        <w:rPr>
          <w:rFonts w:eastAsia="Calibri" w:cs="Arial" w:ascii="Arial" w:hAnsi="Arial"/>
          <w:sz w:val="20"/>
          <w:szCs w:val="20"/>
        </w:rPr>
        <w:t>Наименование лотов, входящих в состав закупки, и подробное описание условий закупки содержатся в документации о закупке.</w:t>
      </w:r>
    </w:p>
    <w:p>
      <w:pPr>
        <w:pStyle w:val="Normal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  <w:lang w:eastAsia="ru-RU"/>
        </w:rPr>
      </w:pPr>
      <w:r>
        <w:rPr>
          <w:rFonts w:cs="Arial" w:ascii="Arial" w:hAnsi="Arial"/>
          <w:sz w:val="20"/>
          <w:szCs w:val="20"/>
          <w:lang w:eastAsia="ru-RU"/>
        </w:rPr>
      </w:r>
      <w:r>
        <w:br w:type="page"/>
      </w:r>
    </w:p>
    <w:p>
      <w:pPr>
        <w:pStyle w:val="Normal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  <w:lang w:eastAsia="ru-RU"/>
        </w:rPr>
      </w:pPr>
      <w:r>
        <w:rPr>
          <w:rFonts w:cs="Arial" w:ascii="Arial" w:hAnsi="Arial"/>
          <w:sz w:val="20"/>
          <w:szCs w:val="20"/>
          <w:lang w:eastAsia="ru-RU"/>
        </w:rPr>
        <w:t>Предмет запроса котировок:</w:t>
      </w:r>
    </w:p>
    <w:p>
      <w:pPr>
        <w:pStyle w:val="Normal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  <w:lang w:eastAsia="ru-RU"/>
        </w:rPr>
      </w:pPr>
      <w:r>
        <w:rPr>
          <w:rFonts w:cs="Arial" w:ascii="Arial" w:hAnsi="Arial"/>
          <w:sz w:val="20"/>
          <w:szCs w:val="20"/>
          <w:lang w:eastAsia="ru-RU"/>
        </w:rPr>
      </w:r>
    </w:p>
    <w:p>
      <w:pPr>
        <w:pStyle w:val="Normal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  <w:lang w:eastAsia="ru-RU"/>
        </w:rPr>
      </w:pPr>
      <w:r>
        <w:rPr>
          <w:rFonts w:cs="Arial" w:ascii="Arial" w:hAnsi="Arial"/>
          <w:sz w:val="20"/>
          <w:szCs w:val="20"/>
          <w:lang w:eastAsia="ru-RU"/>
        </w:rPr>
        <w:t>Краткое описание: открытый запрос котировок в электронной форме, участниками которого могут быть только субъекты малого и среднего предпринимательства на право заключения договора возмездного оказания услуг по информационной поддержке информационно-справочной системы «Техэксперт: Помощник проектировщика, Стройтехнолог» (3 рабочих места).</w:t>
      </w:r>
    </w:p>
    <w:p>
      <w:pPr>
        <w:pStyle w:val="Normal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  <w:lang w:eastAsia="ru-RU"/>
        </w:rPr>
      </w:pPr>
      <w:r>
        <w:rPr>
          <w:rFonts w:cs="Arial" w:ascii="Arial" w:hAnsi="Arial"/>
          <w:sz w:val="20"/>
          <w:szCs w:val="20"/>
          <w:lang w:eastAsia="ru-RU"/>
        </w:rPr>
      </w:r>
    </w:p>
    <w:p>
      <w:pPr>
        <w:pStyle w:val="Normal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  <w:lang w:eastAsia="ru-RU"/>
        </w:rPr>
      </w:pPr>
      <w:r>
        <w:rPr>
          <w:rFonts w:cs="Arial" w:ascii="Arial" w:hAnsi="Arial"/>
          <w:sz w:val="20"/>
          <w:szCs w:val="20"/>
          <w:lang w:eastAsia="ru-RU"/>
        </w:rPr>
        <w:t>Предмет договора:</w:t>
      </w:r>
      <w:r>
        <w:rPr>
          <w:rFonts w:cs="Arial" w:ascii="Arial" w:hAnsi="Arial"/>
          <w:sz w:val="20"/>
          <w:szCs w:val="20"/>
        </w:rPr>
        <w:t xml:space="preserve"> </w:t>
      </w:r>
      <w:r>
        <w:rPr>
          <w:rFonts w:cs="Arial" w:ascii="Arial" w:hAnsi="Arial"/>
          <w:sz w:val="20"/>
          <w:szCs w:val="20"/>
          <w:lang w:eastAsia="ru-RU"/>
        </w:rPr>
        <w:t>оказание услуг по информационной поддержке информационно-справочной системы «Техэксперт: Помощник проектировщика, Стройтехнолог» (3 рабочих места).</w:t>
      </w:r>
    </w:p>
    <w:p>
      <w:pPr>
        <w:pStyle w:val="Normal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  <w:lang w:eastAsia="ru-RU"/>
        </w:rPr>
      </w:pPr>
      <w:r>
        <w:rPr>
          <w:rFonts w:cs="Arial" w:ascii="Arial" w:hAnsi="Arial"/>
          <w:sz w:val="20"/>
          <w:szCs w:val="20"/>
          <w:lang w:eastAsia="ru-RU"/>
        </w:rPr>
      </w:r>
    </w:p>
    <w:p>
      <w:pPr>
        <w:pStyle w:val="Normal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  <w:lang w:eastAsia="ru-RU"/>
        </w:rPr>
      </w:pPr>
      <w:r>
        <w:rPr>
          <w:rFonts w:cs="Arial" w:ascii="Arial" w:hAnsi="Arial"/>
          <w:sz w:val="20"/>
          <w:szCs w:val="20"/>
          <w:lang w:eastAsia="ru-RU"/>
        </w:rPr>
        <w:t xml:space="preserve">Номенклатура мероприятий: согласно конкурсной документации </w:t>
      </w:r>
      <w:r>
        <w:rPr>
          <w:rFonts w:cs="Arial" w:ascii="Arial" w:hAnsi="Arial"/>
          <w:kern w:val="2"/>
          <w:sz w:val="20"/>
          <w:szCs w:val="20"/>
          <w:lang w:eastAsia="ru-RU"/>
        </w:rPr>
        <w:t>№</w:t>
      </w:r>
      <w:r>
        <w:rPr>
          <w:rFonts w:cs="Arial" w:ascii="Arial" w:hAnsi="Arial"/>
          <w:sz w:val="20"/>
          <w:szCs w:val="20"/>
        </w:rPr>
        <w:t> </w:t>
      </w:r>
      <w:r>
        <w:rPr>
          <w:rFonts w:cs="Arial" w:ascii="Arial" w:hAnsi="Arial"/>
          <w:kern w:val="2"/>
          <w:sz w:val="20"/>
          <w:szCs w:val="20"/>
          <w:lang w:eastAsia="ru-RU"/>
        </w:rPr>
        <w:t>2025-02-МСП</w:t>
      </w:r>
    </w:p>
    <w:p>
      <w:pPr>
        <w:pStyle w:val="Normal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  <w:lang w:eastAsia="ru-RU"/>
        </w:rPr>
      </w:pPr>
      <w:r>
        <w:rPr>
          <w:rFonts w:cs="Arial" w:ascii="Arial" w:hAnsi="Arial"/>
          <w:sz w:val="20"/>
          <w:szCs w:val="20"/>
          <w:lang w:eastAsia="ru-RU"/>
        </w:rPr>
      </w:r>
    </w:p>
    <w:p>
      <w:pPr>
        <w:pStyle w:val="Normal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  <w:lang w:eastAsia="ru-RU"/>
        </w:rPr>
      </w:pPr>
      <w:r>
        <w:rPr>
          <w:rFonts w:cs="Arial" w:ascii="Arial" w:hAnsi="Arial"/>
          <w:sz w:val="20"/>
          <w:szCs w:val="20"/>
          <w:lang w:eastAsia="ru-RU"/>
        </w:rPr>
        <w:t xml:space="preserve">Начальная (максимальная) цена договора: </w:t>
      </w:r>
      <w:r>
        <w:rPr>
          <w:rFonts w:cs="Arial" w:ascii="Arial" w:hAnsi="Arial"/>
          <w:sz w:val="20"/>
          <w:szCs w:val="20"/>
        </w:rPr>
        <w:t>276 375,00 руб. (двести семьдесят шесть тысяч триста семьдесят пять руб. 00 коп.) без учета налога на добавленную стоимость</w:t>
      </w:r>
      <w:r>
        <w:rPr>
          <w:rFonts w:cs="Arial" w:ascii="Arial" w:hAnsi="Arial"/>
          <w:sz w:val="20"/>
          <w:szCs w:val="20"/>
          <w:lang w:eastAsia="ru-RU"/>
        </w:rPr>
        <w:t>.</w:t>
      </w:r>
    </w:p>
    <w:p>
      <w:pPr>
        <w:pStyle w:val="Normal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  <w:lang w:eastAsia="ru-RU"/>
        </w:rPr>
      </w:pPr>
      <w:r>
        <w:rPr>
          <w:rFonts w:cs="Arial" w:ascii="Arial" w:hAnsi="Arial"/>
          <w:sz w:val="20"/>
          <w:szCs w:val="20"/>
          <w:lang w:eastAsia="ru-RU"/>
        </w:rPr>
      </w:r>
    </w:p>
    <w:p>
      <w:pPr>
        <w:pStyle w:val="Normal"/>
        <w:numPr>
          <w:ilvl w:val="0"/>
          <w:numId w:val="0"/>
        </w:numPr>
        <w:bidi w:val="0"/>
        <w:spacing w:lineRule="auto" w:line="240" w:before="0" w:after="0"/>
        <w:ind w:hanging="0" w:start="0" w:end="0"/>
        <w:jc w:val="both"/>
        <w:outlineLvl w:val="1"/>
        <w:rPr>
          <w:rFonts w:ascii="Arial" w:hAnsi="Arial" w:cs="Arial"/>
          <w:kern w:val="2"/>
          <w:sz w:val="20"/>
          <w:szCs w:val="20"/>
          <w:lang w:eastAsia="ru-RU"/>
        </w:rPr>
      </w:pPr>
      <w:r>
        <w:rPr>
          <w:rFonts w:cs="Arial" w:ascii="Arial" w:hAnsi="Arial"/>
          <w:sz w:val="20"/>
          <w:szCs w:val="20"/>
        </w:rPr>
        <w:t>В связи с тем, что стоимость закупки превышает сумму в размере 100 000,00 руб., в соответствии с п. 15 ст. 4 Федерального закона от «18»</w:t>
      </w:r>
      <w:r>
        <w:rPr>
          <w:rFonts w:cs="Arial" w:ascii="Arial" w:hAnsi="Arial"/>
          <w:bCs/>
          <w:sz w:val="20"/>
          <w:szCs w:val="20"/>
        </w:rPr>
        <w:t> </w:t>
      </w:r>
      <w:r>
        <w:rPr>
          <w:rFonts w:cs="Arial" w:ascii="Arial" w:hAnsi="Arial"/>
          <w:sz w:val="20"/>
          <w:szCs w:val="20"/>
        </w:rPr>
        <w:t>июля</w:t>
      </w:r>
      <w:r>
        <w:rPr>
          <w:rFonts w:cs="Arial" w:ascii="Arial" w:hAnsi="Arial"/>
          <w:bCs/>
          <w:sz w:val="20"/>
          <w:szCs w:val="20"/>
        </w:rPr>
        <w:t> </w:t>
      </w:r>
      <w:r>
        <w:rPr>
          <w:rFonts w:cs="Arial" w:ascii="Arial" w:hAnsi="Arial"/>
          <w:sz w:val="20"/>
          <w:szCs w:val="20"/>
        </w:rPr>
        <w:t>2011</w:t>
      </w:r>
      <w:r>
        <w:rPr>
          <w:rFonts w:cs="Arial" w:ascii="Arial" w:hAnsi="Arial"/>
          <w:bCs/>
          <w:sz w:val="20"/>
          <w:szCs w:val="20"/>
        </w:rPr>
        <w:t> </w:t>
      </w:r>
      <w:r>
        <w:rPr>
          <w:rFonts w:cs="Arial" w:ascii="Arial" w:hAnsi="Arial"/>
          <w:sz w:val="20"/>
          <w:szCs w:val="20"/>
        </w:rPr>
        <w:t>г. № 223-Ф3 «О закупках товаров, работ, услуг отдельными видами юридических лиц», закупка производилась с размещением сведений в единой информационной системе.</w:t>
      </w:r>
    </w:p>
    <w:p>
      <w:pPr>
        <w:pStyle w:val="Normal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  <w:lang w:eastAsia="ru-RU"/>
        </w:rPr>
      </w:pPr>
      <w:r>
        <w:rPr>
          <w:rFonts w:cs="Arial" w:ascii="Arial" w:hAnsi="Arial"/>
          <w:sz w:val="20"/>
          <w:szCs w:val="20"/>
          <w:lang w:eastAsia="ru-RU"/>
        </w:rPr>
      </w:r>
    </w:p>
    <w:p>
      <w:pPr>
        <w:pStyle w:val="Normal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  <w:lang w:eastAsia="ru-RU"/>
        </w:rPr>
      </w:pPr>
      <w:r>
        <w:rPr>
          <w:rFonts w:cs="Arial" w:ascii="Arial" w:hAnsi="Arial"/>
          <w:sz w:val="20"/>
          <w:szCs w:val="20"/>
          <w:lang w:eastAsia="ru-RU"/>
        </w:rPr>
        <w:t xml:space="preserve">Условия оплаты (порядок расчетов): согласно конкурсной документации </w:t>
      </w:r>
      <w:r>
        <w:rPr>
          <w:rFonts w:cs="Arial" w:ascii="Arial" w:hAnsi="Arial"/>
          <w:kern w:val="2"/>
          <w:sz w:val="20"/>
          <w:szCs w:val="20"/>
          <w:lang w:eastAsia="ru-RU"/>
        </w:rPr>
        <w:t>№</w:t>
      </w:r>
      <w:r>
        <w:rPr>
          <w:rFonts w:cs="Arial" w:ascii="Arial" w:hAnsi="Arial"/>
          <w:sz w:val="20"/>
          <w:szCs w:val="20"/>
        </w:rPr>
        <w:t> </w:t>
      </w:r>
      <w:r>
        <w:rPr>
          <w:rFonts w:cs="Arial" w:ascii="Arial" w:hAnsi="Arial"/>
          <w:kern w:val="2"/>
          <w:sz w:val="20"/>
          <w:szCs w:val="20"/>
          <w:lang w:eastAsia="ru-RU"/>
        </w:rPr>
        <w:t>2025-02-МСП</w:t>
      </w:r>
      <w:r>
        <w:rPr>
          <w:rFonts w:cs="Arial" w:ascii="Arial" w:hAnsi="Arial"/>
          <w:sz w:val="20"/>
          <w:szCs w:val="20"/>
          <w:lang w:eastAsia="ru-RU"/>
        </w:rPr>
        <w:t>.</w:t>
      </w:r>
    </w:p>
    <w:p>
      <w:pPr>
        <w:pStyle w:val="Normal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  <w:lang w:eastAsia="ru-RU"/>
        </w:rPr>
      </w:pPr>
      <w:r>
        <w:rPr>
          <w:rFonts w:cs="Arial" w:ascii="Arial" w:hAnsi="Arial"/>
          <w:sz w:val="20"/>
          <w:szCs w:val="20"/>
          <w:lang w:eastAsia="ru-RU"/>
        </w:rPr>
      </w:r>
    </w:p>
    <w:p>
      <w:pPr>
        <w:pStyle w:val="Normal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  <w:lang w:eastAsia="ru-RU"/>
        </w:rPr>
      </w:pPr>
      <w:r>
        <w:rPr>
          <w:rFonts w:cs="Arial" w:ascii="Arial" w:hAnsi="Arial"/>
          <w:sz w:val="20"/>
          <w:szCs w:val="20"/>
          <w:lang w:eastAsia="ru-RU"/>
        </w:rPr>
        <w:t xml:space="preserve">Порядок оказания услуг: согласно конкурсной документации </w:t>
      </w:r>
      <w:r>
        <w:rPr>
          <w:rFonts w:cs="Arial" w:ascii="Arial" w:hAnsi="Arial"/>
          <w:kern w:val="2"/>
          <w:sz w:val="20"/>
          <w:szCs w:val="20"/>
          <w:lang w:eastAsia="ru-RU"/>
        </w:rPr>
        <w:t>№</w:t>
      </w:r>
      <w:r>
        <w:rPr>
          <w:rFonts w:cs="Arial" w:ascii="Arial" w:hAnsi="Arial"/>
          <w:sz w:val="20"/>
          <w:szCs w:val="20"/>
        </w:rPr>
        <w:t> </w:t>
      </w:r>
      <w:r>
        <w:rPr>
          <w:rFonts w:cs="Arial" w:ascii="Arial" w:hAnsi="Arial"/>
          <w:kern w:val="2"/>
          <w:sz w:val="20"/>
          <w:szCs w:val="20"/>
          <w:lang w:eastAsia="ru-RU"/>
        </w:rPr>
        <w:t>2025-02-МСП</w:t>
      </w:r>
      <w:r>
        <w:rPr>
          <w:rFonts w:cs="Arial" w:ascii="Arial" w:hAnsi="Arial"/>
          <w:sz w:val="20"/>
          <w:szCs w:val="20"/>
          <w:lang w:eastAsia="ru-RU"/>
        </w:rPr>
        <w:t>.</w:t>
      </w:r>
    </w:p>
    <w:p>
      <w:pPr>
        <w:pStyle w:val="Normal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  <w:lang w:eastAsia="ru-RU"/>
        </w:rPr>
      </w:pPr>
      <w:r>
        <w:rPr>
          <w:rFonts w:cs="Arial" w:ascii="Arial" w:hAnsi="Arial"/>
          <w:sz w:val="20"/>
          <w:szCs w:val="20"/>
          <w:lang w:eastAsia="ru-RU"/>
        </w:rPr>
      </w:r>
    </w:p>
    <w:p>
      <w:pPr>
        <w:pStyle w:val="Normal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  <w:lang w:eastAsia="ru-RU"/>
        </w:rPr>
      </w:pPr>
      <w:r>
        <w:rPr>
          <w:rFonts w:cs="Arial" w:ascii="Arial" w:hAnsi="Arial"/>
          <w:sz w:val="20"/>
          <w:szCs w:val="20"/>
          <w:lang w:eastAsia="ru-RU"/>
        </w:rPr>
        <w:t xml:space="preserve">Вскрытие заявок проведено в 16.00 </w:t>
      </w:r>
      <w:r>
        <w:rPr>
          <w:rFonts w:cs="Arial" w:ascii="Arial" w:hAnsi="Arial"/>
          <w:kern w:val="2"/>
          <w:sz w:val="20"/>
          <w:szCs w:val="20"/>
          <w:lang w:eastAsia="ru-RU"/>
        </w:rPr>
        <w:t>«28»</w:t>
      </w:r>
      <w:r>
        <w:rPr>
          <w:rFonts w:cs="Arial" w:ascii="Arial" w:hAnsi="Arial"/>
          <w:bCs/>
          <w:sz w:val="20"/>
          <w:szCs w:val="20"/>
          <w:lang w:eastAsia="ru-RU"/>
        </w:rPr>
        <w:t> </w:t>
      </w:r>
      <w:r>
        <w:rPr>
          <w:rFonts w:cs="Arial" w:ascii="Arial" w:hAnsi="Arial"/>
          <w:kern w:val="2"/>
          <w:sz w:val="20"/>
          <w:szCs w:val="20"/>
          <w:lang w:eastAsia="ru-RU"/>
        </w:rPr>
        <w:t>февраля</w:t>
      </w:r>
      <w:r>
        <w:rPr>
          <w:rFonts w:cs="Arial" w:ascii="Arial" w:hAnsi="Arial"/>
          <w:bCs/>
          <w:sz w:val="20"/>
          <w:szCs w:val="20"/>
          <w:lang w:eastAsia="ru-RU"/>
        </w:rPr>
        <w:t> </w:t>
      </w:r>
      <w:r>
        <w:rPr>
          <w:rFonts w:cs="Arial" w:ascii="Arial" w:hAnsi="Arial"/>
          <w:kern w:val="2"/>
          <w:sz w:val="20"/>
          <w:szCs w:val="20"/>
          <w:lang w:eastAsia="ru-RU"/>
        </w:rPr>
        <w:t>2025</w:t>
      </w:r>
      <w:r>
        <w:rPr>
          <w:rFonts w:cs="Arial" w:ascii="Arial" w:hAnsi="Arial"/>
          <w:bCs/>
          <w:sz w:val="20"/>
          <w:szCs w:val="20"/>
          <w:lang w:eastAsia="ru-RU"/>
        </w:rPr>
        <w:t> </w:t>
      </w:r>
      <w:r>
        <w:rPr>
          <w:rFonts w:cs="Arial" w:ascii="Arial" w:hAnsi="Arial"/>
          <w:kern w:val="2"/>
          <w:sz w:val="20"/>
          <w:szCs w:val="20"/>
          <w:lang w:eastAsia="ru-RU"/>
        </w:rPr>
        <w:t>г.</w:t>
      </w:r>
      <w:r>
        <w:rPr>
          <w:rFonts w:cs="Arial" w:ascii="Arial" w:hAnsi="Arial"/>
          <w:sz w:val="20"/>
          <w:szCs w:val="20"/>
          <w:lang w:eastAsia="ru-RU"/>
        </w:rPr>
        <w:t xml:space="preserve"> в электронном виде на сайте </w:t>
      </w:r>
      <w:r>
        <w:rPr>
          <w:rFonts w:cs="Arial" w:ascii="Arial" w:hAnsi="Arial"/>
          <w:sz w:val="20"/>
          <w:szCs w:val="20"/>
        </w:rPr>
        <w:t>http://223</w:t>
      </w:r>
      <w:r>
        <w:rPr>
          <w:rFonts w:cs="Arial" w:ascii="Arial" w:hAnsi="Arial"/>
          <w:sz w:val="20"/>
          <w:szCs w:val="20"/>
          <w:lang w:val="en-US"/>
        </w:rPr>
        <w:t>etp</w:t>
      </w:r>
      <w:r>
        <w:rPr>
          <w:rFonts w:cs="Arial" w:ascii="Arial" w:hAnsi="Arial"/>
          <w:sz w:val="20"/>
          <w:szCs w:val="20"/>
        </w:rPr>
        <w:t>.</w:t>
      </w:r>
      <w:r>
        <w:rPr>
          <w:rFonts w:cs="Arial" w:ascii="Arial" w:hAnsi="Arial"/>
          <w:sz w:val="20"/>
          <w:szCs w:val="20"/>
          <w:lang w:val="en-US"/>
        </w:rPr>
        <w:t>zakazrf</w:t>
      </w:r>
      <w:r>
        <w:rPr>
          <w:rFonts w:cs="Arial" w:ascii="Arial" w:hAnsi="Arial"/>
          <w:sz w:val="20"/>
          <w:szCs w:val="20"/>
        </w:rPr>
        <w:t>.ru/</w:t>
      </w:r>
    </w:p>
    <w:p>
      <w:pPr>
        <w:pStyle w:val="Normal"/>
        <w:numPr>
          <w:ilvl w:val="0"/>
          <w:numId w:val="0"/>
        </w:numPr>
        <w:bidi w:val="0"/>
        <w:spacing w:lineRule="auto" w:line="240" w:before="0" w:after="0"/>
        <w:ind w:hanging="0" w:start="0" w:end="0"/>
        <w:jc w:val="both"/>
        <w:outlineLvl w:val="1"/>
        <w:rPr>
          <w:rFonts w:ascii="Arial" w:hAnsi="Arial" w:cs="Arial"/>
          <w:sz w:val="20"/>
          <w:szCs w:val="20"/>
          <w:lang w:eastAsia="ru-RU"/>
        </w:rPr>
      </w:pPr>
      <w:r>
        <w:rPr>
          <w:rFonts w:cs="Arial" w:ascii="Arial" w:hAnsi="Arial"/>
          <w:sz w:val="20"/>
          <w:szCs w:val="20"/>
          <w:lang w:eastAsia="ru-RU"/>
        </w:rPr>
      </w:r>
    </w:p>
    <w:p>
      <w:pPr>
        <w:pStyle w:val="Normal"/>
        <w:numPr>
          <w:ilvl w:val="0"/>
          <w:numId w:val="0"/>
        </w:numPr>
        <w:bidi w:val="0"/>
        <w:spacing w:lineRule="auto" w:line="240" w:before="0" w:after="0"/>
        <w:ind w:hanging="0" w:start="0" w:end="0"/>
        <w:jc w:val="both"/>
        <w:outlineLvl w:val="1"/>
        <w:rPr>
          <w:rFonts w:ascii="Arial" w:hAnsi="Arial" w:cs="Arial"/>
          <w:sz w:val="20"/>
          <w:szCs w:val="20"/>
          <w:lang w:eastAsia="ru-RU"/>
        </w:rPr>
      </w:pPr>
      <w:r>
        <w:rPr>
          <w:rFonts w:cs="Arial" w:ascii="Arial" w:hAnsi="Arial"/>
          <w:sz w:val="20"/>
          <w:szCs w:val="20"/>
          <w:lang w:eastAsia="ru-RU"/>
        </w:rPr>
        <w:t>Сведения о предложениях участников открытого запроса котировок в электронной форме, подавших заявки:</w:t>
      </w:r>
    </w:p>
    <w:p>
      <w:pPr>
        <w:pStyle w:val="Normal"/>
        <w:numPr>
          <w:ilvl w:val="0"/>
          <w:numId w:val="0"/>
        </w:numPr>
        <w:bidi w:val="0"/>
        <w:spacing w:lineRule="auto" w:line="240" w:before="0" w:after="0"/>
        <w:ind w:hanging="0" w:start="0" w:end="0"/>
        <w:jc w:val="both"/>
        <w:outlineLvl w:val="1"/>
        <w:rPr>
          <w:rFonts w:ascii="Arial" w:hAnsi="Arial" w:cs="Arial"/>
          <w:b/>
          <w:bCs/>
          <w:sz w:val="20"/>
          <w:szCs w:val="20"/>
          <w:lang w:eastAsia="ru-RU"/>
        </w:rPr>
      </w:pPr>
      <w:r>
        <w:rPr>
          <w:rFonts w:cs="Arial" w:ascii="Arial" w:hAnsi="Arial"/>
          <w:b/>
          <w:bCs/>
          <w:sz w:val="20"/>
          <w:szCs w:val="20"/>
          <w:lang w:eastAsia="ru-RU"/>
        </w:rPr>
      </w:r>
    </w:p>
    <w:p>
      <w:pPr>
        <w:pStyle w:val="Normal"/>
        <w:numPr>
          <w:ilvl w:val="0"/>
          <w:numId w:val="0"/>
        </w:numPr>
        <w:bidi w:val="0"/>
        <w:spacing w:lineRule="auto" w:line="240" w:before="0" w:after="0"/>
        <w:ind w:hanging="0" w:start="0" w:end="0"/>
        <w:jc w:val="both"/>
        <w:outlineLvl w:val="1"/>
        <w:rPr>
          <w:rFonts w:ascii="Arial" w:hAnsi="Arial" w:cs="Arial"/>
          <w:bCs/>
          <w:sz w:val="20"/>
          <w:szCs w:val="20"/>
          <w:lang w:eastAsia="ru-RU"/>
        </w:rPr>
      </w:pPr>
      <w:r>
        <w:rPr>
          <w:rFonts w:cs="Arial" w:ascii="Arial" w:hAnsi="Arial"/>
          <w:bCs/>
          <w:sz w:val="20"/>
          <w:szCs w:val="20"/>
          <w:lang w:eastAsia="ru-RU"/>
        </w:rPr>
        <w:t>Таблица № 1</w:t>
      </w:r>
    </w:p>
    <w:p>
      <w:pPr>
        <w:pStyle w:val="Normal"/>
        <w:numPr>
          <w:ilvl w:val="0"/>
          <w:numId w:val="0"/>
        </w:numPr>
        <w:bidi w:val="0"/>
        <w:spacing w:lineRule="auto" w:line="240" w:before="0" w:after="0"/>
        <w:ind w:hanging="0" w:start="0" w:end="0"/>
        <w:jc w:val="both"/>
        <w:outlineLvl w:val="1"/>
        <w:rPr>
          <w:rFonts w:ascii="Arial" w:hAnsi="Arial" w:cs="Arial"/>
          <w:bCs/>
          <w:sz w:val="20"/>
          <w:szCs w:val="20"/>
          <w:lang w:eastAsia="ru-RU"/>
        </w:rPr>
      </w:pPr>
      <w:r>
        <w:rPr>
          <w:rFonts w:cs="Arial" w:ascii="Arial" w:hAnsi="Arial"/>
          <w:bCs/>
          <w:sz w:val="20"/>
          <w:szCs w:val="20"/>
          <w:lang w:eastAsia="ru-RU"/>
        </w:rPr>
      </w:r>
    </w:p>
    <w:tbl>
      <w:tblPr>
        <w:tblW w:w="10042" w:type="dxa"/>
        <w:jc w:val="start"/>
        <w:tblInd w:w="22" w:type="dxa"/>
        <w:tblLayout w:type="fixed"/>
        <w:tblCellMar>
          <w:top w:w="45" w:type="dxa"/>
          <w:start w:w="45" w:type="dxa"/>
          <w:bottom w:w="45" w:type="dxa"/>
          <w:end w:w="45" w:type="dxa"/>
        </w:tblCellMar>
      </w:tblPr>
      <w:tblGrid>
        <w:gridCol w:w="343"/>
        <w:gridCol w:w="3685"/>
        <w:gridCol w:w="6014"/>
      </w:tblGrid>
      <w:tr>
        <w:trPr/>
        <w:tc>
          <w:tcPr>
            <w:tcW w:w="343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  <w:shd w:color="auto" w:fill="FFFFFF"/>
            <w:vAlign w:val="center"/>
          </w:tcPr>
          <w:p>
            <w:pPr>
              <w:pStyle w:val="Normal"/>
              <w:tabs>
                <w:tab w:val="clear" w:pos="708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cs="Arial" w:ascii="Arial" w:hAnsi="Arial"/>
                <w:b/>
                <w:bCs/>
                <w:sz w:val="20"/>
                <w:szCs w:val="20"/>
                <w:lang w:eastAsia="ru-RU"/>
              </w:rPr>
              <w:t>№</w:t>
            </w:r>
          </w:p>
        </w:tc>
        <w:tc>
          <w:tcPr>
            <w:tcW w:w="3685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  <w:shd w:color="auto" w:fill="FFFFFF"/>
            <w:vAlign w:val="center"/>
          </w:tcPr>
          <w:p>
            <w:pPr>
              <w:pStyle w:val="Normal"/>
              <w:tabs>
                <w:tab w:val="clear" w:pos="708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cs="Arial" w:ascii="Arial" w:hAnsi="Arial"/>
                <w:b/>
                <w:bCs/>
                <w:sz w:val="20"/>
                <w:szCs w:val="20"/>
                <w:lang w:eastAsia="ru-RU"/>
              </w:rPr>
              <w:t>Наименование участника и его адрес</w:t>
            </w:r>
          </w:p>
        </w:tc>
        <w:tc>
          <w:tcPr>
            <w:tcW w:w="6014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  <w:shd w:color="auto" w:fill="FFFFFF"/>
            <w:vAlign w:val="center"/>
          </w:tcPr>
          <w:p>
            <w:pPr>
              <w:pStyle w:val="Normal"/>
              <w:tabs>
                <w:tab w:val="clear" w:pos="708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cs="Arial" w:ascii="Arial" w:hAnsi="Arial"/>
                <w:b/>
                <w:bCs/>
                <w:sz w:val="20"/>
                <w:szCs w:val="20"/>
                <w:lang w:eastAsia="ru-RU"/>
              </w:rPr>
              <w:t>Предмет и общая цена заявки на участие в запросе котировок</w:t>
            </w:r>
          </w:p>
        </w:tc>
      </w:tr>
      <w:tr>
        <w:trPr/>
        <w:tc>
          <w:tcPr>
            <w:tcW w:w="343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  <w:shd w:color="auto" w:fill="FFFFFF"/>
            <w:vAlign w:val="center"/>
          </w:tcPr>
          <w:p>
            <w:pPr>
              <w:pStyle w:val="Normal"/>
              <w:tabs>
                <w:tab w:val="clear" w:pos="708"/>
              </w:tabs>
              <w:bidi w:val="0"/>
              <w:spacing w:lineRule="auto" w:line="240" w:before="0" w:after="0"/>
              <w:ind w:hanging="0" w:start="0" w:end="0"/>
              <w:jc w:val="both"/>
              <w:rPr/>
            </w:pPr>
            <w:r>
              <w:rPr>
                <w:rFonts w:cs="Arial" w:ascii="Arial" w:hAnsi="Arial"/>
                <w:sz w:val="20"/>
                <w:szCs w:val="20"/>
                <w:lang w:eastAsia="ru-RU"/>
              </w:rPr>
              <w:t>1.</w:t>
            </w:r>
          </w:p>
        </w:tc>
        <w:tc>
          <w:tcPr>
            <w:tcW w:w="3685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  <w:shd w:color="auto" w:fill="FFFFFF"/>
            <w:vAlign w:val="center"/>
          </w:tcPr>
          <w:p>
            <w:pPr>
              <w:pStyle w:val="Normal"/>
              <w:tabs>
                <w:tab w:val="clear" w:pos="708"/>
              </w:tabs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cs="Arial" w:ascii="Arial" w:hAnsi="Arial"/>
                <w:bCs/>
                <w:sz w:val="20"/>
                <w:szCs w:val="20"/>
                <w:lang w:eastAsia="ru-RU"/>
              </w:rPr>
              <w:t>Общество с ограниченной ответственностью «Информпроект Групп» ИНН 9729177203, КПП 770301001 ОГРН 5177746295711, юридический адрес: 123112, г. Москва, муниципальный округ Пресненский вн. тер. г., Пресненская набережная, дом 12, помещение 19/64</w:t>
            </w:r>
          </w:p>
        </w:tc>
        <w:tc>
          <w:tcPr>
            <w:tcW w:w="6014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  <w:shd w:color="auto" w:fill="FFFFFF"/>
            <w:vAlign w:val="center"/>
          </w:tcPr>
          <w:p>
            <w:pPr>
              <w:pStyle w:val="Normal"/>
              <w:tabs>
                <w:tab w:val="clear" w:pos="708"/>
              </w:tabs>
              <w:bidi w:val="0"/>
              <w:spacing w:lineRule="auto" w:line="240" w:before="0" w:after="0"/>
              <w:ind w:hanging="0" w:start="0" w:end="0"/>
              <w:jc w:val="both"/>
              <w:rPr>
                <w:rFonts w:ascii="Arial" w:hAnsi="Arial" w:cs="Arial"/>
                <w:sz w:val="20"/>
                <w:szCs w:val="20"/>
                <w:lang w:eastAsia="ru-RU"/>
              </w:rPr>
            </w:pPr>
            <w:r>
              <w:rPr>
                <w:rFonts w:cs="Arial" w:ascii="Arial" w:hAnsi="Arial"/>
                <w:sz w:val="20"/>
                <w:szCs w:val="20"/>
                <w:lang w:eastAsia="ru-RU"/>
              </w:rPr>
              <w:t>Предложение:</w:t>
            </w:r>
            <w:r>
              <w:rPr>
                <w:rFonts w:cs="Arial" w:ascii="Arial" w:hAnsi="Arial"/>
                <w:bCs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eastAsia="ru-RU"/>
              </w:rPr>
              <w:t>оказание услуг по информационной поддержке информационно-справочной системы «Техэксперт: Помощник проектировщика, Стройтехнолог» (3 рабочих места)</w:t>
            </w:r>
          </w:p>
          <w:p>
            <w:pPr>
              <w:pStyle w:val="Normal"/>
              <w:tabs>
                <w:tab w:val="clear" w:pos="708"/>
              </w:tabs>
              <w:bidi w:val="0"/>
              <w:spacing w:lineRule="auto" w:line="240" w:before="0" w:after="0"/>
              <w:ind w:hanging="0" w:start="0" w:end="0"/>
              <w:jc w:val="both"/>
              <w:rPr>
                <w:rFonts w:ascii="Arial" w:hAnsi="Arial" w:cs="Arial"/>
                <w:bCs/>
                <w:sz w:val="20"/>
                <w:szCs w:val="20"/>
                <w:lang w:eastAsia="ru-RU"/>
              </w:rPr>
            </w:pPr>
            <w:r>
              <w:rPr>
                <w:rFonts w:cs="Arial" w:ascii="Arial" w:hAnsi="Arial"/>
                <w:bCs/>
                <w:sz w:val="20"/>
                <w:szCs w:val="20"/>
                <w:lang w:eastAsia="ru-RU"/>
              </w:rPr>
            </w:r>
          </w:p>
          <w:p>
            <w:pPr>
              <w:pStyle w:val="Normal"/>
              <w:tabs>
                <w:tab w:val="clear" w:pos="708"/>
              </w:tabs>
              <w:bidi w:val="0"/>
              <w:spacing w:lineRule="auto" w:line="240" w:before="0" w:after="0"/>
              <w:ind w:hanging="0" w:start="0" w:end="0"/>
              <w:jc w:val="both"/>
              <w:rPr>
                <w:rFonts w:ascii="Arial" w:hAnsi="Arial" w:cs="Arial"/>
                <w:bCs/>
                <w:sz w:val="20"/>
                <w:szCs w:val="20"/>
                <w:lang w:eastAsia="ru-RU"/>
              </w:rPr>
            </w:pPr>
            <w:r>
              <w:rPr>
                <w:rFonts w:cs="Arial" w:ascii="Arial" w:hAnsi="Arial"/>
                <w:bCs/>
                <w:sz w:val="20"/>
                <w:szCs w:val="20"/>
                <w:lang w:eastAsia="ru-RU"/>
              </w:rPr>
              <w:t xml:space="preserve">Дата и время подачи заявки – </w:t>
            </w:r>
            <w:r>
              <w:rPr>
                <w:rFonts w:cs="Arial" w:ascii="Arial" w:hAnsi="Arial"/>
                <w:kern w:val="2"/>
                <w:sz w:val="20"/>
                <w:szCs w:val="20"/>
                <w:lang w:eastAsia="ru-RU"/>
              </w:rPr>
              <w:t>«26»</w:t>
            </w:r>
            <w:r>
              <w:rPr>
                <w:rFonts w:cs="Arial" w:ascii="Arial" w:hAnsi="Arial"/>
                <w:bCs/>
                <w:sz w:val="20"/>
                <w:szCs w:val="20"/>
                <w:lang w:eastAsia="ru-RU"/>
              </w:rPr>
              <w:t> </w:t>
            </w:r>
            <w:r>
              <w:rPr>
                <w:rFonts w:cs="Arial" w:ascii="Arial" w:hAnsi="Arial"/>
                <w:kern w:val="2"/>
                <w:sz w:val="20"/>
                <w:szCs w:val="20"/>
                <w:lang w:eastAsia="ru-RU"/>
              </w:rPr>
              <w:t>февраля</w:t>
            </w:r>
            <w:r>
              <w:rPr>
                <w:rFonts w:cs="Arial" w:ascii="Arial" w:hAnsi="Arial"/>
                <w:bCs/>
                <w:sz w:val="20"/>
                <w:szCs w:val="20"/>
                <w:lang w:eastAsia="ru-RU"/>
              </w:rPr>
              <w:t> </w:t>
            </w:r>
            <w:r>
              <w:rPr>
                <w:rFonts w:cs="Arial" w:ascii="Arial" w:hAnsi="Arial"/>
                <w:kern w:val="2"/>
                <w:sz w:val="20"/>
                <w:szCs w:val="20"/>
                <w:lang w:eastAsia="ru-RU"/>
              </w:rPr>
              <w:t>2025</w:t>
            </w:r>
            <w:r>
              <w:rPr>
                <w:rFonts w:cs="Arial" w:ascii="Arial" w:hAnsi="Arial"/>
                <w:bCs/>
                <w:sz w:val="20"/>
                <w:szCs w:val="20"/>
                <w:lang w:eastAsia="ru-RU"/>
              </w:rPr>
              <w:t> </w:t>
            </w:r>
            <w:r>
              <w:rPr>
                <w:rFonts w:cs="Arial" w:ascii="Arial" w:hAnsi="Arial"/>
                <w:kern w:val="2"/>
                <w:sz w:val="20"/>
                <w:szCs w:val="20"/>
                <w:lang w:eastAsia="ru-RU"/>
              </w:rPr>
              <w:t>г. в 13.27.16</w:t>
            </w:r>
          </w:p>
          <w:p>
            <w:pPr>
              <w:pStyle w:val="Normal"/>
              <w:tabs>
                <w:tab w:val="clear" w:pos="708"/>
              </w:tabs>
              <w:bidi w:val="0"/>
              <w:spacing w:lineRule="auto" w:line="240" w:before="0" w:after="0"/>
              <w:ind w:hanging="0" w:start="0" w:end="0"/>
              <w:jc w:val="both"/>
              <w:rPr>
                <w:rFonts w:ascii="Arial" w:hAnsi="Arial" w:cs="Arial"/>
                <w:bCs/>
                <w:sz w:val="20"/>
                <w:szCs w:val="20"/>
                <w:lang w:eastAsia="ru-RU"/>
              </w:rPr>
            </w:pPr>
            <w:r>
              <w:rPr>
                <w:rFonts w:cs="Arial" w:ascii="Arial" w:hAnsi="Arial"/>
                <w:bCs/>
                <w:sz w:val="20"/>
                <w:szCs w:val="20"/>
                <w:lang w:eastAsia="ru-RU"/>
              </w:rPr>
            </w:r>
          </w:p>
          <w:p>
            <w:pPr>
              <w:pStyle w:val="Normal"/>
              <w:tabs>
                <w:tab w:val="clear" w:pos="708"/>
              </w:tabs>
              <w:bidi w:val="0"/>
              <w:spacing w:lineRule="auto" w:line="240" w:before="0" w:after="0"/>
              <w:ind w:hanging="0" w:start="0" w:end="0"/>
              <w:jc w:val="both"/>
              <w:rPr/>
            </w:pPr>
            <w:r>
              <w:rPr>
                <w:rFonts w:cs="Arial" w:ascii="Arial" w:hAnsi="Arial"/>
                <w:bCs/>
                <w:sz w:val="20"/>
                <w:szCs w:val="20"/>
                <w:lang w:eastAsia="ru-RU"/>
              </w:rPr>
              <w:t xml:space="preserve">Стоимость </w:t>
            </w:r>
            <w:r>
              <w:rPr>
                <w:rFonts w:cs="Arial" w:ascii="Arial" w:hAnsi="Arial"/>
                <w:sz w:val="20"/>
                <w:szCs w:val="20"/>
              </w:rPr>
              <w:t>276 375,00 руб. (двести семьдесят шесть тысяч триста семьдесят пять руб. 00 коп.) без учета налога на добавленную стоимость</w:t>
            </w:r>
          </w:p>
        </w:tc>
      </w:tr>
    </w:tbl>
    <w:p>
      <w:pPr>
        <w:pStyle w:val="Normal"/>
        <w:numPr>
          <w:ilvl w:val="0"/>
          <w:numId w:val="0"/>
        </w:numPr>
        <w:bidi w:val="0"/>
        <w:spacing w:lineRule="auto" w:line="240" w:before="0" w:after="0"/>
        <w:ind w:hanging="0" w:start="0" w:end="0"/>
        <w:jc w:val="both"/>
        <w:outlineLvl w:val="1"/>
        <w:rPr>
          <w:rFonts w:ascii="Arial" w:hAnsi="Arial" w:cs="Arial"/>
          <w:bCs/>
          <w:sz w:val="20"/>
          <w:szCs w:val="20"/>
          <w:lang w:eastAsia="ru-RU"/>
        </w:rPr>
      </w:pPr>
      <w:r>
        <w:rPr>
          <w:rFonts w:cs="Arial" w:ascii="Arial" w:hAnsi="Arial"/>
          <w:bCs/>
          <w:sz w:val="20"/>
          <w:szCs w:val="20"/>
          <w:lang w:eastAsia="ru-RU"/>
        </w:rPr>
      </w:r>
    </w:p>
    <w:p>
      <w:pPr>
        <w:pStyle w:val="Normal"/>
        <w:numPr>
          <w:ilvl w:val="0"/>
          <w:numId w:val="0"/>
        </w:numPr>
        <w:bidi w:val="0"/>
        <w:spacing w:lineRule="auto" w:line="240" w:before="0" w:after="0"/>
        <w:ind w:hanging="0" w:start="0" w:end="0"/>
        <w:outlineLvl w:val="1"/>
        <w:rPr>
          <w:rFonts w:ascii="Arial" w:hAnsi="Arial" w:cs="Arial"/>
          <w:sz w:val="20"/>
          <w:szCs w:val="20"/>
          <w:lang w:eastAsia="ru-RU"/>
        </w:rPr>
      </w:pPr>
      <w:r>
        <w:rPr>
          <w:rFonts w:cs="Arial" w:ascii="Arial" w:hAnsi="Arial"/>
          <w:sz w:val="20"/>
          <w:szCs w:val="20"/>
          <w:lang w:eastAsia="ru-RU"/>
        </w:rPr>
        <w:t>Вопросы заседания комиссии:</w:t>
      </w:r>
    </w:p>
    <w:p>
      <w:pPr>
        <w:pStyle w:val="Normal"/>
        <w:numPr>
          <w:ilvl w:val="0"/>
          <w:numId w:val="0"/>
        </w:numPr>
        <w:bidi w:val="0"/>
        <w:spacing w:lineRule="auto" w:line="240" w:before="0" w:after="0"/>
        <w:ind w:hanging="0" w:start="0" w:end="0"/>
        <w:outlineLvl w:val="1"/>
        <w:rPr>
          <w:rFonts w:ascii="Arial" w:hAnsi="Arial" w:cs="Arial"/>
          <w:sz w:val="20"/>
          <w:szCs w:val="20"/>
          <w:lang w:eastAsia="ru-RU"/>
        </w:rPr>
      </w:pPr>
      <w:r>
        <w:rPr>
          <w:rFonts w:cs="Arial" w:ascii="Arial" w:hAnsi="Arial"/>
          <w:sz w:val="20"/>
          <w:szCs w:val="20"/>
          <w:lang w:eastAsia="ru-RU"/>
        </w:rPr>
      </w:r>
    </w:p>
    <w:p>
      <w:pPr>
        <w:pStyle w:val="ListParagraph"/>
        <w:numPr>
          <w:ilvl w:val="0"/>
          <w:numId w:val="2"/>
        </w:numPr>
        <w:bidi w:val="0"/>
        <w:spacing w:lineRule="auto" w:line="240" w:before="0" w:after="0"/>
        <w:ind w:hanging="426" w:start="426" w:end="0"/>
        <w:contextualSpacing/>
        <w:outlineLvl w:val="1"/>
        <w:rPr>
          <w:rFonts w:ascii="Arial" w:hAnsi="Arial" w:cs="Arial"/>
          <w:sz w:val="20"/>
          <w:szCs w:val="20"/>
          <w:lang w:eastAsia="ru-RU"/>
        </w:rPr>
      </w:pPr>
      <w:r>
        <w:rPr>
          <w:rFonts w:cs="Arial" w:ascii="Arial" w:hAnsi="Arial"/>
          <w:sz w:val="20"/>
          <w:szCs w:val="20"/>
          <w:lang w:eastAsia="ru-RU"/>
        </w:rPr>
        <w:t>О рассмотрении, оценке и сопоставлении заявок на участие в закупке</w:t>
      </w:r>
    </w:p>
    <w:p>
      <w:pPr>
        <w:pStyle w:val="Normal"/>
        <w:numPr>
          <w:ilvl w:val="0"/>
          <w:numId w:val="0"/>
        </w:numPr>
        <w:bidi w:val="0"/>
        <w:spacing w:lineRule="auto" w:line="240" w:before="0" w:after="0"/>
        <w:ind w:hanging="0" w:start="0" w:end="0"/>
        <w:outlineLvl w:val="1"/>
        <w:rPr>
          <w:rFonts w:ascii="Arial" w:hAnsi="Arial" w:cs="Arial"/>
          <w:sz w:val="20"/>
          <w:szCs w:val="20"/>
          <w:lang w:eastAsia="ru-RU"/>
        </w:rPr>
      </w:pPr>
      <w:r>
        <w:rPr>
          <w:rFonts w:cs="Arial" w:ascii="Arial" w:hAnsi="Arial"/>
          <w:sz w:val="20"/>
          <w:szCs w:val="20"/>
          <w:lang w:eastAsia="ru-RU"/>
        </w:rPr>
      </w:r>
    </w:p>
    <w:p>
      <w:pPr>
        <w:pStyle w:val="Normal"/>
        <w:numPr>
          <w:ilvl w:val="0"/>
          <w:numId w:val="0"/>
        </w:numPr>
        <w:bidi w:val="0"/>
        <w:spacing w:lineRule="auto" w:line="240" w:before="0" w:after="0"/>
        <w:ind w:hanging="0" w:start="0" w:end="0"/>
        <w:outlineLvl w:val="1"/>
        <w:rPr>
          <w:rFonts w:ascii="Arial" w:hAnsi="Arial" w:cs="Arial"/>
          <w:sz w:val="20"/>
          <w:szCs w:val="20"/>
          <w:lang w:eastAsia="ru-RU"/>
        </w:rPr>
      </w:pPr>
      <w:r>
        <w:rPr>
          <w:rFonts w:cs="Arial" w:ascii="Arial" w:hAnsi="Arial"/>
          <w:sz w:val="20"/>
          <w:szCs w:val="20"/>
          <w:lang w:eastAsia="ru-RU"/>
        </w:rPr>
        <w:t xml:space="preserve">Решили: </w:t>
      </w:r>
    </w:p>
    <w:p>
      <w:pPr>
        <w:pStyle w:val="ListParagraph"/>
        <w:numPr>
          <w:ilvl w:val="0"/>
          <w:numId w:val="1"/>
        </w:numPr>
        <w:bidi w:val="0"/>
        <w:spacing w:lineRule="auto" w:line="276"/>
        <w:ind w:hanging="426" w:start="426" w:end="0"/>
        <w:jc w:val="both"/>
        <w:rPr>
          <w:rFonts w:ascii="Arial" w:hAnsi="Arial" w:cs="Arial"/>
          <w:sz w:val="20"/>
          <w:szCs w:val="20"/>
          <w:lang w:eastAsia="ru-RU"/>
        </w:rPr>
      </w:pPr>
      <w:r>
        <w:rPr>
          <w:rFonts w:cs="Arial" w:ascii="Arial" w:hAnsi="Arial"/>
          <w:sz w:val="20"/>
          <w:szCs w:val="20"/>
          <w:lang w:eastAsia="ru-RU"/>
        </w:rPr>
        <w:t>Согласно п.</w:t>
      </w:r>
      <w:r>
        <w:rPr>
          <w:rFonts w:cs="Arial" w:ascii="Arial" w:hAnsi="Arial"/>
          <w:bCs/>
          <w:sz w:val="20"/>
          <w:szCs w:val="20"/>
          <w:lang w:eastAsia="ru-RU"/>
        </w:rPr>
        <w:t> </w:t>
      </w:r>
      <w:r>
        <w:rPr>
          <w:rFonts w:cs="Arial" w:ascii="Arial" w:hAnsi="Arial"/>
          <w:sz w:val="20"/>
          <w:szCs w:val="20"/>
          <w:lang w:eastAsia="ru-RU"/>
        </w:rPr>
        <w:t>1.3.1. п.</w:t>
      </w:r>
      <w:r>
        <w:rPr>
          <w:rFonts w:cs="Arial" w:ascii="Arial" w:hAnsi="Arial"/>
          <w:bCs/>
          <w:sz w:val="20"/>
          <w:szCs w:val="20"/>
          <w:lang w:eastAsia="ru-RU"/>
        </w:rPr>
        <w:t> </w:t>
      </w:r>
      <w:r>
        <w:rPr>
          <w:rFonts w:cs="Arial" w:ascii="Arial" w:hAnsi="Arial"/>
          <w:sz w:val="20"/>
          <w:szCs w:val="20"/>
          <w:lang w:eastAsia="ru-RU"/>
        </w:rPr>
        <w:t>1.3. «</w:t>
      </w:r>
      <w:r>
        <w:rPr>
          <w:rFonts w:cs="Arial" w:ascii="Arial" w:hAnsi="Arial"/>
          <w:sz w:val="20"/>
          <w:szCs w:val="20"/>
        </w:rPr>
        <w:t>Этап (подэтап, стадия) рассмотрения и оценки заявок в части предложений о предмете закупки (рассмотрения и оценки первых частей заявок)</w:t>
      </w:r>
      <w:r>
        <w:rPr>
          <w:rFonts w:cs="Arial" w:ascii="Arial" w:hAnsi="Arial"/>
          <w:sz w:val="20"/>
          <w:szCs w:val="20"/>
          <w:lang w:eastAsia="ru-RU"/>
        </w:rPr>
        <w:t>» подраздела</w:t>
      </w:r>
      <w:r>
        <w:rPr>
          <w:rFonts w:cs="Arial" w:ascii="Arial" w:hAnsi="Arial"/>
          <w:bCs/>
          <w:sz w:val="20"/>
          <w:szCs w:val="20"/>
          <w:lang w:eastAsia="ru-RU"/>
        </w:rPr>
        <w:t> </w:t>
      </w:r>
      <w:r>
        <w:rPr>
          <w:rFonts w:cs="Arial" w:ascii="Arial" w:hAnsi="Arial"/>
          <w:sz w:val="20"/>
          <w:szCs w:val="20"/>
          <w:lang w:eastAsia="ru-RU"/>
        </w:rPr>
        <w:t>2.2.4. «Общий порядок осуществления конкурентной закупки» раздела</w:t>
      </w:r>
      <w:r>
        <w:rPr>
          <w:rFonts w:cs="Arial" w:ascii="Arial" w:hAnsi="Arial"/>
          <w:bCs/>
          <w:sz w:val="20"/>
          <w:szCs w:val="20"/>
          <w:lang w:eastAsia="ru-RU"/>
        </w:rPr>
        <w:t> </w:t>
      </w:r>
      <w:r>
        <w:rPr>
          <w:rFonts w:cs="Arial" w:ascii="Arial" w:hAnsi="Arial"/>
          <w:sz w:val="20"/>
          <w:szCs w:val="20"/>
          <w:lang w:eastAsia="ru-RU"/>
        </w:rPr>
        <w:t>2. «Общий порядок подготовки и осуществления конкурентной закупки» главы</w:t>
      </w:r>
      <w:r>
        <w:rPr>
          <w:rFonts w:cs="Arial" w:ascii="Arial" w:hAnsi="Arial"/>
          <w:bCs/>
          <w:sz w:val="20"/>
          <w:szCs w:val="20"/>
          <w:lang w:eastAsia="ru-RU"/>
        </w:rPr>
        <w:t> </w:t>
      </w:r>
      <w:r>
        <w:rPr>
          <w:rFonts w:cs="Arial" w:ascii="Arial" w:hAnsi="Arial"/>
          <w:sz w:val="20"/>
          <w:szCs w:val="20"/>
          <w:lang w:eastAsia="ru-RU"/>
        </w:rPr>
        <w:t>2. «Способы и формы закупок, общий порядок подготовки и осуществления закупок» Положения «О закупке ООО</w:t>
      </w:r>
      <w:r>
        <w:rPr>
          <w:rFonts w:cs="Arial" w:ascii="Arial" w:hAnsi="Arial"/>
          <w:bCs/>
          <w:sz w:val="20"/>
          <w:szCs w:val="20"/>
          <w:lang w:eastAsia="ru-RU"/>
        </w:rPr>
        <w:t> </w:t>
      </w:r>
      <w:r>
        <w:rPr>
          <w:rFonts w:cs="Arial" w:ascii="Arial" w:hAnsi="Arial"/>
          <w:sz w:val="20"/>
          <w:szCs w:val="20"/>
          <w:lang w:eastAsia="ru-RU"/>
        </w:rPr>
        <w:t xml:space="preserve">«ТатАИСЭнерго» </w:t>
      </w:r>
      <w:r>
        <w:rPr>
          <w:rFonts w:cs="Arial" w:ascii="Arial" w:hAnsi="Arial"/>
          <w:sz w:val="20"/>
          <w:szCs w:val="20"/>
        </w:rPr>
        <w:t>в рамках данной стадии закупки предусматривает в отношении предложений о предмете закупки (в том числе о предлагаемых товарах, работах, услугах, условиях исполнения договора), содержащихся в заявках (или первых частях заявок) на участие в закупке: рассмотрение заявок (или первых частей заявок) на участие в закупке на предмет соответствия критериям отбора (требованиям, установленным документацией о конкурентной закупке, извещением об осуществлении запроса котировок в электронной форме, если такие требования были установлены);</w:t>
      </w:r>
    </w:p>
    <w:p>
      <w:pPr>
        <w:pStyle w:val="ListParagraph"/>
        <w:widowControl w:val="false"/>
        <w:numPr>
          <w:ilvl w:val="0"/>
          <w:numId w:val="1"/>
        </w:numPr>
        <w:suppressAutoHyphens w:val="true"/>
        <w:bidi w:val="0"/>
        <w:spacing w:lineRule="auto" w:line="276"/>
        <w:ind w:hanging="426" w:start="426" w:end="0"/>
        <w:jc w:val="both"/>
        <w:rPr>
          <w:rFonts w:ascii="Arial" w:hAnsi="Arial" w:cs="Arial"/>
          <w:sz w:val="20"/>
          <w:szCs w:val="20"/>
          <w:lang w:eastAsia="ru-RU"/>
        </w:rPr>
      </w:pPr>
      <w:r>
        <w:rPr>
          <w:rFonts w:cs="Arial" w:ascii="Arial" w:hAnsi="Arial"/>
          <w:sz w:val="20"/>
          <w:szCs w:val="20"/>
          <w:lang w:eastAsia="ru-RU"/>
        </w:rPr>
        <w:t>Согласно п.</w:t>
      </w:r>
      <w:r>
        <w:rPr>
          <w:rFonts w:cs="Arial" w:ascii="Arial" w:hAnsi="Arial"/>
          <w:bCs/>
          <w:sz w:val="20"/>
          <w:szCs w:val="20"/>
          <w:lang w:eastAsia="ru-RU"/>
        </w:rPr>
        <w:t> </w:t>
      </w:r>
      <w:r>
        <w:rPr>
          <w:rFonts w:cs="Arial" w:ascii="Arial" w:hAnsi="Arial"/>
          <w:sz w:val="20"/>
          <w:szCs w:val="20"/>
          <w:lang w:eastAsia="ru-RU"/>
        </w:rPr>
        <w:t>1.3.3. п.</w:t>
      </w:r>
      <w:r>
        <w:rPr>
          <w:rFonts w:cs="Arial" w:ascii="Arial" w:hAnsi="Arial"/>
          <w:bCs/>
          <w:sz w:val="20"/>
          <w:szCs w:val="20"/>
          <w:lang w:eastAsia="ru-RU"/>
        </w:rPr>
        <w:t> </w:t>
      </w:r>
      <w:r>
        <w:rPr>
          <w:rFonts w:cs="Arial" w:ascii="Arial" w:hAnsi="Arial"/>
          <w:sz w:val="20"/>
          <w:szCs w:val="20"/>
          <w:lang w:eastAsia="ru-RU"/>
        </w:rPr>
        <w:t>1.3. «</w:t>
      </w:r>
      <w:r>
        <w:rPr>
          <w:rFonts w:cs="Arial" w:ascii="Arial" w:hAnsi="Arial"/>
          <w:sz w:val="20"/>
          <w:szCs w:val="20"/>
        </w:rPr>
        <w:t>Этап (подэтап, стадия) рассмотрения и оценки заявок в части предложений о предмете закупки (рассмотрения и оценки первых частей заявок)</w:t>
      </w:r>
      <w:r>
        <w:rPr>
          <w:rFonts w:cs="Arial" w:ascii="Arial" w:hAnsi="Arial"/>
          <w:sz w:val="20"/>
          <w:szCs w:val="20"/>
          <w:lang w:eastAsia="ru-RU"/>
        </w:rPr>
        <w:t>» подраздела</w:t>
      </w:r>
      <w:r>
        <w:rPr>
          <w:rFonts w:cs="Arial" w:ascii="Arial" w:hAnsi="Arial"/>
          <w:bCs/>
          <w:sz w:val="20"/>
          <w:szCs w:val="20"/>
          <w:lang w:eastAsia="ru-RU"/>
        </w:rPr>
        <w:t> </w:t>
      </w:r>
      <w:r>
        <w:rPr>
          <w:rFonts w:cs="Arial" w:ascii="Arial" w:hAnsi="Arial"/>
          <w:sz w:val="20"/>
          <w:szCs w:val="20"/>
          <w:lang w:eastAsia="ru-RU"/>
        </w:rPr>
        <w:t>2.2.4. «Общий порядок осуществления конкурентной закупки» раздела</w:t>
      </w:r>
      <w:r>
        <w:rPr>
          <w:rFonts w:cs="Arial" w:ascii="Arial" w:hAnsi="Arial"/>
          <w:bCs/>
          <w:sz w:val="20"/>
          <w:szCs w:val="20"/>
          <w:lang w:eastAsia="ru-RU"/>
        </w:rPr>
        <w:t> </w:t>
      </w:r>
      <w:r>
        <w:rPr>
          <w:rFonts w:cs="Arial" w:ascii="Arial" w:hAnsi="Arial"/>
          <w:sz w:val="20"/>
          <w:szCs w:val="20"/>
          <w:lang w:eastAsia="ru-RU"/>
        </w:rPr>
        <w:t>2. «Общий порядок подготовки и осуществления конкурентной закупки» главы</w:t>
      </w:r>
      <w:r>
        <w:rPr>
          <w:rFonts w:cs="Arial" w:ascii="Arial" w:hAnsi="Arial"/>
          <w:bCs/>
          <w:sz w:val="20"/>
          <w:szCs w:val="20"/>
          <w:lang w:eastAsia="ru-RU"/>
        </w:rPr>
        <w:t> </w:t>
      </w:r>
      <w:r>
        <w:rPr>
          <w:rFonts w:cs="Arial" w:ascii="Arial" w:hAnsi="Arial"/>
          <w:sz w:val="20"/>
          <w:szCs w:val="20"/>
          <w:lang w:eastAsia="ru-RU"/>
        </w:rPr>
        <w:t>2. «Способы и формы закупок, общий порядок подготовки и осуществления закупок» Положения «О закупке ООО</w:t>
      </w:r>
      <w:r>
        <w:rPr>
          <w:rFonts w:cs="Arial" w:ascii="Arial" w:hAnsi="Arial"/>
          <w:bCs/>
          <w:sz w:val="20"/>
          <w:szCs w:val="20"/>
          <w:lang w:eastAsia="ru-RU"/>
        </w:rPr>
        <w:t> </w:t>
      </w:r>
      <w:r>
        <w:rPr>
          <w:rFonts w:cs="Arial" w:ascii="Arial" w:hAnsi="Arial"/>
          <w:sz w:val="20"/>
          <w:szCs w:val="20"/>
          <w:lang w:eastAsia="ru-RU"/>
        </w:rPr>
        <w:t xml:space="preserve">«ТатАИСЭнерго» </w:t>
      </w:r>
      <w:r>
        <w:rPr>
          <w:rFonts w:cs="Arial" w:ascii="Arial" w:hAnsi="Arial"/>
          <w:sz w:val="20"/>
          <w:szCs w:val="20"/>
        </w:rPr>
        <w:t>по результатам данной стадии закупки закупочная комиссия отклоняет предложение если соблюдается хотя бы одно из следующих условий:</w:t>
      </w:r>
      <w:r>
        <w:rPr>
          <w:rFonts w:cs="Arial" w:ascii="Arial" w:hAnsi="Arial"/>
          <w:b/>
          <w:sz w:val="20"/>
          <w:szCs w:val="20"/>
        </w:rPr>
        <w:t xml:space="preserve"> </w:t>
      </w:r>
      <w:r>
        <w:rPr>
          <w:rFonts w:cs="Arial" w:ascii="Arial" w:hAnsi="Arial"/>
          <w:sz w:val="20"/>
          <w:szCs w:val="20"/>
        </w:rPr>
        <w:t xml:space="preserve">заявка (или первая часть заявки) не отвечает требованиям к содержанию, форме, оформлению, составу предложений, установленным документацией о конкурентной закупке, извещением об осуществлении запроса котировок в электронной форме; предложение не соответствует хотя бы одному критерию отбора (требованию), установленному документацией о конкурентной закупке, извещением об осуществлении запроса котировок в электронной форме; предложение содержит очевидные арифметические, или грамматические, или технические, или иные ошибки, или несоответствия, или противоречия, не устраненные участником, либо с исправлением которых участник не согласился; </w:t>
      </w:r>
      <w:r>
        <w:rPr>
          <w:rFonts w:cs="Arial" w:ascii="Arial" w:hAnsi="Arial"/>
          <w:sz w:val="20"/>
          <w:szCs w:val="20"/>
          <w:lang w:eastAsia="ru-RU"/>
        </w:rPr>
        <w:tab/>
        <w:t xml:space="preserve">в случае содержания в первой части заявки на участие в конкурсе в электронной форме, аукционе в электронной форме, запросе предложений в электронной форме сведений об участнике и (или) о ценовом предложении. </w:t>
      </w:r>
      <w:r>
        <w:rPr>
          <w:rFonts w:cs="Arial" w:ascii="Arial" w:hAnsi="Arial"/>
          <w:sz w:val="20"/>
          <w:szCs w:val="20"/>
        </w:rPr>
        <w:t>Не отклоненные предложения допускаются к дальнейшему осуществлению закупки (допущенные заявки).</w:t>
      </w:r>
    </w:p>
    <w:p>
      <w:pPr>
        <w:pStyle w:val="ListParagraph"/>
        <w:widowControl w:val="false"/>
        <w:numPr>
          <w:ilvl w:val="0"/>
          <w:numId w:val="1"/>
        </w:numPr>
        <w:suppressAutoHyphens w:val="true"/>
        <w:bidi w:val="0"/>
        <w:spacing w:lineRule="auto" w:line="276"/>
        <w:ind w:hanging="426" w:start="426" w:end="0"/>
        <w:jc w:val="both"/>
        <w:rPr>
          <w:rFonts w:ascii="Arial" w:hAnsi="Arial" w:cs="Arial"/>
          <w:sz w:val="20"/>
          <w:szCs w:val="20"/>
          <w:lang w:eastAsia="ru-RU"/>
        </w:rPr>
      </w:pPr>
      <w:r>
        <w:rPr>
          <w:rFonts w:cs="Arial" w:ascii="Arial" w:hAnsi="Arial"/>
          <w:sz w:val="20"/>
          <w:szCs w:val="20"/>
          <w:lang w:eastAsia="ru-RU"/>
        </w:rPr>
        <w:t>Согласно п.</w:t>
      </w:r>
      <w:r>
        <w:rPr>
          <w:rFonts w:cs="Arial" w:ascii="Arial" w:hAnsi="Arial"/>
          <w:bCs/>
          <w:sz w:val="20"/>
          <w:szCs w:val="20"/>
          <w:lang w:eastAsia="ru-RU"/>
        </w:rPr>
        <w:t> </w:t>
      </w:r>
      <w:r>
        <w:rPr>
          <w:rFonts w:cs="Arial" w:ascii="Arial" w:hAnsi="Arial"/>
          <w:sz w:val="20"/>
          <w:szCs w:val="20"/>
          <w:lang w:eastAsia="ru-RU"/>
        </w:rPr>
        <w:t>1.6.1. п.</w:t>
      </w:r>
      <w:r>
        <w:rPr>
          <w:rFonts w:cs="Arial" w:ascii="Arial" w:hAnsi="Arial"/>
          <w:bCs/>
          <w:sz w:val="20"/>
          <w:szCs w:val="20"/>
          <w:lang w:eastAsia="ru-RU"/>
        </w:rPr>
        <w:t> </w:t>
      </w:r>
      <w:r>
        <w:rPr>
          <w:rFonts w:cs="Arial" w:ascii="Arial" w:hAnsi="Arial"/>
          <w:sz w:val="20"/>
          <w:szCs w:val="20"/>
          <w:lang w:eastAsia="ru-RU"/>
        </w:rPr>
        <w:t>1.6. «Стадия сопоставления заявок и подведения итогов закупки» подраздела</w:t>
      </w:r>
      <w:r>
        <w:rPr>
          <w:rFonts w:cs="Arial" w:ascii="Arial" w:hAnsi="Arial"/>
          <w:bCs/>
          <w:sz w:val="20"/>
          <w:szCs w:val="20"/>
          <w:lang w:eastAsia="ru-RU"/>
        </w:rPr>
        <w:t> </w:t>
      </w:r>
      <w:r>
        <w:rPr>
          <w:rFonts w:cs="Arial" w:ascii="Arial" w:hAnsi="Arial"/>
          <w:sz w:val="20"/>
          <w:szCs w:val="20"/>
          <w:lang w:eastAsia="ru-RU"/>
        </w:rPr>
        <w:t>2.2.4. «Общий порядок осуществления конкурентной закупки» раздела</w:t>
      </w:r>
      <w:r>
        <w:rPr>
          <w:rFonts w:cs="Arial" w:ascii="Arial" w:hAnsi="Arial"/>
          <w:bCs/>
          <w:sz w:val="20"/>
          <w:szCs w:val="20"/>
          <w:lang w:eastAsia="ru-RU"/>
        </w:rPr>
        <w:t> </w:t>
      </w:r>
      <w:r>
        <w:rPr>
          <w:rFonts w:cs="Arial" w:ascii="Arial" w:hAnsi="Arial"/>
          <w:sz w:val="20"/>
          <w:szCs w:val="20"/>
          <w:lang w:eastAsia="ru-RU"/>
        </w:rPr>
        <w:t>2. «Общий порядок подготовки и осуществления конкурентной закупки» главы</w:t>
      </w:r>
      <w:r>
        <w:rPr>
          <w:rFonts w:cs="Arial" w:ascii="Arial" w:hAnsi="Arial"/>
          <w:bCs/>
          <w:sz w:val="20"/>
          <w:szCs w:val="20"/>
          <w:lang w:eastAsia="ru-RU"/>
        </w:rPr>
        <w:t> </w:t>
      </w:r>
      <w:r>
        <w:rPr>
          <w:rFonts w:cs="Arial" w:ascii="Arial" w:hAnsi="Arial"/>
          <w:sz w:val="20"/>
          <w:szCs w:val="20"/>
          <w:lang w:eastAsia="ru-RU"/>
        </w:rPr>
        <w:t>2. «Способы и формы закупок, общий порядок подготовки и осуществления закупок» Положения «О закупке ООО</w:t>
      </w:r>
      <w:r>
        <w:rPr>
          <w:rFonts w:cs="Arial" w:ascii="Arial" w:hAnsi="Arial"/>
          <w:bCs/>
          <w:sz w:val="20"/>
          <w:szCs w:val="20"/>
          <w:lang w:eastAsia="ru-RU"/>
        </w:rPr>
        <w:t> </w:t>
      </w:r>
      <w:r>
        <w:rPr>
          <w:rFonts w:cs="Arial" w:ascii="Arial" w:hAnsi="Arial"/>
          <w:sz w:val="20"/>
          <w:szCs w:val="20"/>
          <w:lang w:eastAsia="ru-RU"/>
        </w:rPr>
        <w:t xml:space="preserve">«ТатАИСЭнерго», </w:t>
      </w:r>
      <w:r>
        <w:rPr>
          <w:rFonts w:cs="Arial" w:ascii="Arial" w:hAnsi="Arial"/>
          <w:sz w:val="20"/>
          <w:szCs w:val="20"/>
        </w:rPr>
        <w:t>стадия сопоставления и подведения итогов закупки включает в себя: при проведении закупок в электронной форме – сопоставление ценовых предложений с начальной (максимальной) ценой договора (ценой лота); ранжирование – сопоставление условий заявок на участие в закупке (с учетом поданных ценовых предложений, дополнительных ценовых предложений если это предусмотрено условиями закупки), либо сопоставление ценовых предложений, дополнительных предложений (для аукциона и запроса котировок); выбор победителя закупки, определение участника закупки, с которым должен быть заключен договор.</w:t>
      </w:r>
    </w:p>
    <w:p>
      <w:pPr>
        <w:pStyle w:val="ListParagraph"/>
        <w:numPr>
          <w:ilvl w:val="0"/>
          <w:numId w:val="1"/>
        </w:numPr>
        <w:bidi w:val="0"/>
        <w:spacing w:lineRule="auto" w:line="276"/>
        <w:ind w:hanging="426" w:start="426" w:end="0"/>
        <w:jc w:val="both"/>
        <w:rPr>
          <w:rFonts w:ascii="Arial" w:hAnsi="Arial" w:cs="Arial"/>
          <w:sz w:val="20"/>
          <w:szCs w:val="20"/>
          <w:lang w:eastAsia="ru-RU"/>
        </w:rPr>
      </w:pPr>
      <w:r>
        <w:rPr>
          <w:rFonts w:cs="Arial" w:ascii="Arial" w:hAnsi="Arial"/>
          <w:sz w:val="20"/>
          <w:szCs w:val="20"/>
          <w:lang w:eastAsia="ru-RU"/>
        </w:rPr>
        <w:t>Согласно п.</w:t>
      </w:r>
      <w:r>
        <w:rPr>
          <w:rFonts w:cs="Arial" w:ascii="Arial" w:hAnsi="Arial"/>
          <w:bCs/>
          <w:sz w:val="20"/>
          <w:szCs w:val="20"/>
          <w:lang w:eastAsia="ru-RU"/>
        </w:rPr>
        <w:t> </w:t>
      </w:r>
      <w:r>
        <w:rPr>
          <w:rFonts w:cs="Arial" w:ascii="Arial" w:hAnsi="Arial"/>
          <w:sz w:val="20"/>
          <w:szCs w:val="20"/>
          <w:lang w:eastAsia="ru-RU"/>
        </w:rPr>
        <w:t>1.6.2. п.</w:t>
      </w:r>
      <w:r>
        <w:rPr>
          <w:rFonts w:cs="Arial" w:ascii="Arial" w:hAnsi="Arial"/>
          <w:bCs/>
          <w:sz w:val="20"/>
          <w:szCs w:val="20"/>
          <w:lang w:eastAsia="ru-RU"/>
        </w:rPr>
        <w:t> </w:t>
      </w:r>
      <w:r>
        <w:rPr>
          <w:rFonts w:cs="Arial" w:ascii="Arial" w:hAnsi="Arial"/>
          <w:sz w:val="20"/>
          <w:szCs w:val="20"/>
          <w:lang w:eastAsia="ru-RU"/>
        </w:rPr>
        <w:t>1.6. «Стадия сопоставления заявок и подведения итогов закупки» подраздела</w:t>
      </w:r>
      <w:r>
        <w:rPr>
          <w:rFonts w:cs="Arial" w:ascii="Arial" w:hAnsi="Arial"/>
          <w:bCs/>
          <w:sz w:val="20"/>
          <w:szCs w:val="20"/>
          <w:lang w:eastAsia="ru-RU"/>
        </w:rPr>
        <w:t> </w:t>
      </w:r>
      <w:r>
        <w:rPr>
          <w:rFonts w:cs="Arial" w:ascii="Arial" w:hAnsi="Arial"/>
          <w:sz w:val="20"/>
          <w:szCs w:val="20"/>
          <w:lang w:eastAsia="ru-RU"/>
        </w:rPr>
        <w:t>2.2.4. «Общий порядок осуществления конкурентной закупки» раздела</w:t>
      </w:r>
      <w:r>
        <w:rPr>
          <w:rFonts w:cs="Arial" w:ascii="Arial" w:hAnsi="Arial"/>
          <w:bCs/>
          <w:sz w:val="20"/>
          <w:szCs w:val="20"/>
          <w:lang w:eastAsia="ru-RU"/>
        </w:rPr>
        <w:t> </w:t>
      </w:r>
      <w:r>
        <w:rPr>
          <w:rFonts w:cs="Arial" w:ascii="Arial" w:hAnsi="Arial"/>
          <w:sz w:val="20"/>
          <w:szCs w:val="20"/>
          <w:lang w:eastAsia="ru-RU"/>
        </w:rPr>
        <w:t>2. «Общий порядок подготовки и осуществления конкурентной закупки» главы</w:t>
      </w:r>
      <w:r>
        <w:rPr>
          <w:rFonts w:cs="Arial" w:ascii="Arial" w:hAnsi="Arial"/>
          <w:bCs/>
          <w:sz w:val="20"/>
          <w:szCs w:val="20"/>
          <w:lang w:eastAsia="ru-RU"/>
        </w:rPr>
        <w:t> </w:t>
      </w:r>
      <w:r>
        <w:rPr>
          <w:rFonts w:cs="Arial" w:ascii="Arial" w:hAnsi="Arial"/>
          <w:sz w:val="20"/>
          <w:szCs w:val="20"/>
          <w:lang w:eastAsia="ru-RU"/>
        </w:rPr>
        <w:t>2. «Способы и формы закупок, общий порядок подготовки и осуществления закупок» Положения «О закупке ООО</w:t>
      </w:r>
      <w:r>
        <w:rPr>
          <w:rFonts w:cs="Arial" w:ascii="Arial" w:hAnsi="Arial"/>
          <w:bCs/>
          <w:sz w:val="20"/>
          <w:szCs w:val="20"/>
          <w:lang w:eastAsia="ru-RU"/>
        </w:rPr>
        <w:t> </w:t>
      </w:r>
      <w:r>
        <w:rPr>
          <w:rFonts w:cs="Arial" w:ascii="Arial" w:hAnsi="Arial"/>
          <w:sz w:val="20"/>
          <w:szCs w:val="20"/>
          <w:lang w:eastAsia="ru-RU"/>
        </w:rPr>
        <w:t xml:space="preserve">«ТатАИСЭнерго», при проведении закупки в электронной форме закупочная комиссия на данной стадии отклоняет заявки, если в заявке содержится ценовое предложение, превышающее начальную (максимальную) цену договора (цену лота); либо по мнению закупочной комиссии предложение является спекулятивным демпингом, то есть подано по необоснованно заниженной стоимости закупаемых товаров, работ, услуг в результате заявления предложения, явно не отвечающего признакам экономической обоснованности, разумности и добросовестности. </w:t>
      </w:r>
      <w:r>
        <w:rPr>
          <w:rFonts w:cs="Arial" w:ascii="Arial" w:hAnsi="Arial"/>
          <w:sz w:val="20"/>
          <w:szCs w:val="20"/>
        </w:rPr>
        <w:t>Отклоненные заявки не подлежат сопоставлению и не учитываются при сопоставлении заявок на участие в закупке.</w:t>
      </w:r>
    </w:p>
    <w:p>
      <w:pPr>
        <w:pStyle w:val="ListParagraph"/>
        <w:numPr>
          <w:ilvl w:val="0"/>
          <w:numId w:val="1"/>
        </w:numPr>
        <w:bidi w:val="0"/>
        <w:spacing w:lineRule="auto" w:line="276"/>
        <w:ind w:hanging="360" w:start="426" w:end="0"/>
        <w:jc w:val="both"/>
        <w:rPr>
          <w:rFonts w:ascii="Arial" w:hAnsi="Arial" w:cs="Arial"/>
          <w:sz w:val="20"/>
          <w:szCs w:val="20"/>
          <w:lang w:eastAsia="ru-RU"/>
        </w:rPr>
      </w:pPr>
      <w:r>
        <w:rPr>
          <w:rFonts w:cs="Arial" w:ascii="Arial" w:hAnsi="Arial"/>
          <w:sz w:val="20"/>
          <w:szCs w:val="20"/>
          <w:lang w:eastAsia="ru-RU"/>
        </w:rPr>
        <w:t>Согласно п.</w:t>
      </w:r>
      <w:r>
        <w:rPr>
          <w:rFonts w:cs="Arial" w:ascii="Arial" w:hAnsi="Arial"/>
          <w:bCs/>
          <w:sz w:val="20"/>
          <w:szCs w:val="20"/>
          <w:lang w:eastAsia="ru-RU"/>
        </w:rPr>
        <w:t> </w:t>
      </w:r>
      <w:r>
        <w:rPr>
          <w:rFonts w:cs="Arial" w:ascii="Arial" w:hAnsi="Arial"/>
          <w:sz w:val="20"/>
          <w:szCs w:val="20"/>
          <w:lang w:eastAsia="ru-RU"/>
        </w:rPr>
        <w:t>1.6.4. п.</w:t>
      </w:r>
      <w:r>
        <w:rPr>
          <w:rFonts w:cs="Arial" w:ascii="Arial" w:hAnsi="Arial"/>
          <w:bCs/>
          <w:sz w:val="20"/>
          <w:szCs w:val="20"/>
          <w:lang w:eastAsia="ru-RU"/>
        </w:rPr>
        <w:t> </w:t>
      </w:r>
      <w:r>
        <w:rPr>
          <w:rFonts w:cs="Arial" w:ascii="Arial" w:hAnsi="Arial"/>
          <w:sz w:val="20"/>
          <w:szCs w:val="20"/>
          <w:lang w:eastAsia="ru-RU"/>
        </w:rPr>
        <w:t>1.6. «Стадия сопоставления заявок и подведения итогов закупки» подраздела</w:t>
      </w:r>
      <w:r>
        <w:rPr>
          <w:rFonts w:cs="Arial" w:ascii="Arial" w:hAnsi="Arial"/>
          <w:bCs/>
          <w:sz w:val="20"/>
          <w:szCs w:val="20"/>
          <w:lang w:eastAsia="ru-RU"/>
        </w:rPr>
        <w:t> </w:t>
      </w:r>
      <w:r>
        <w:rPr>
          <w:rFonts w:cs="Arial" w:ascii="Arial" w:hAnsi="Arial"/>
          <w:sz w:val="20"/>
          <w:szCs w:val="20"/>
          <w:lang w:eastAsia="ru-RU"/>
        </w:rPr>
        <w:t>2.2.4. «Общий порядок осуществления конкурентной закупки» раздела</w:t>
      </w:r>
      <w:r>
        <w:rPr>
          <w:rFonts w:cs="Arial" w:ascii="Arial" w:hAnsi="Arial"/>
          <w:bCs/>
          <w:sz w:val="20"/>
          <w:szCs w:val="20"/>
          <w:lang w:eastAsia="ru-RU"/>
        </w:rPr>
        <w:t> </w:t>
      </w:r>
      <w:r>
        <w:rPr>
          <w:rFonts w:cs="Arial" w:ascii="Arial" w:hAnsi="Arial"/>
          <w:sz w:val="20"/>
          <w:szCs w:val="20"/>
          <w:lang w:eastAsia="ru-RU"/>
        </w:rPr>
        <w:t>2. «Общий порядок подготовки и осуществления конкурентной закупки» главы</w:t>
      </w:r>
      <w:r>
        <w:rPr>
          <w:rFonts w:cs="Arial" w:ascii="Arial" w:hAnsi="Arial"/>
          <w:bCs/>
          <w:sz w:val="20"/>
          <w:szCs w:val="20"/>
          <w:lang w:eastAsia="ru-RU"/>
        </w:rPr>
        <w:t> </w:t>
      </w:r>
      <w:r>
        <w:rPr>
          <w:rFonts w:cs="Arial" w:ascii="Arial" w:hAnsi="Arial"/>
          <w:sz w:val="20"/>
          <w:szCs w:val="20"/>
          <w:lang w:eastAsia="ru-RU"/>
        </w:rPr>
        <w:t>2. «Способы и формы закупок, общий порядок подготовки и осуществления закупок» Положения «О закупке ООО</w:t>
      </w:r>
      <w:r>
        <w:rPr>
          <w:rFonts w:cs="Arial" w:ascii="Arial" w:hAnsi="Arial"/>
          <w:bCs/>
          <w:sz w:val="20"/>
          <w:szCs w:val="20"/>
          <w:lang w:eastAsia="ru-RU"/>
        </w:rPr>
        <w:t> </w:t>
      </w:r>
      <w:r>
        <w:rPr>
          <w:rFonts w:cs="Arial" w:ascii="Arial" w:hAnsi="Arial"/>
          <w:sz w:val="20"/>
          <w:szCs w:val="20"/>
          <w:lang w:eastAsia="ru-RU"/>
        </w:rPr>
        <w:t>«ТатАИСЭнерго», сопоставление (или ранжирование) заявок – процедура, осуществляемая на основании результатов оценки заявок, которая заключается в присвоении каждой допущенной заявке порядкового номера в порядке уменьшения степени выгодности содержащихся в них условий исполнения договора (в соответствии с критериями и порядком оценки и сопоставления заявок на участие в закупке). При этом для закупок в электронной форме оценка заявок по критерию цены предложения производится на данной стадии исходя из ценовых предложений, дополнительных ценовых предложений, доступ к которым предоставляется оператором электронной торговой площадки. Порядковые номера присваиваются начиная с первого номера и далее по порядку. Первый номер (первое место) присваивается: для закупок способами конкурс, запрос предложений, запрос цен – допущенной заявке, которая набрала наибольшее количество баллов при проведении оценки заявок (в отношении конкурса это заявка, в которой содержатся лучшие условия исполнения договора); для закупок способами аукцион и запрос котировок – заявке, содержащей наименьшее ценовое предложение. Следующие после первого номера (места) присваиваются заявкам по мере: для закупок способами конкурс, запрос предложений, запрос цен – уменьшения количества баллов, которые заявка набрала при проведении оценки заявок; для закупок способами аукцион и запрос котировок – увеличения ценового предложения. В случае, если нескольким заявкам присвоено одинаковое количество баллов при проведении оценки заявок, или в нескольких Заявках содержатся одинаковые по степени выгодности условия исполнения договора, или одинаковые ценовые предложения, то меньший порядковый номер присваивается заявке, которая поступила ранее других таких заявок.</w:t>
      </w:r>
    </w:p>
    <w:p>
      <w:pPr>
        <w:pStyle w:val="ListParagraph"/>
        <w:numPr>
          <w:ilvl w:val="0"/>
          <w:numId w:val="1"/>
        </w:numPr>
        <w:bidi w:val="0"/>
        <w:spacing w:lineRule="auto" w:line="276"/>
        <w:ind w:hanging="426" w:start="426" w:end="0"/>
        <w:jc w:val="both"/>
        <w:rPr>
          <w:rFonts w:ascii="Arial" w:hAnsi="Arial" w:cs="Arial"/>
          <w:sz w:val="20"/>
          <w:szCs w:val="20"/>
          <w:lang w:eastAsia="ru-RU"/>
        </w:rPr>
      </w:pPr>
      <w:r>
        <w:rPr>
          <w:rFonts w:cs="Arial" w:ascii="Arial" w:hAnsi="Arial"/>
          <w:sz w:val="20"/>
          <w:szCs w:val="20"/>
          <w:lang w:eastAsia="ru-RU"/>
        </w:rPr>
        <w:t>В соответствии с п.</w:t>
      </w:r>
      <w:r>
        <w:rPr>
          <w:rFonts w:cs="Arial" w:ascii="Arial" w:hAnsi="Arial"/>
          <w:bCs/>
          <w:sz w:val="20"/>
          <w:szCs w:val="20"/>
          <w:lang w:eastAsia="ru-RU"/>
        </w:rPr>
        <w:t> </w:t>
      </w:r>
      <w:r>
        <w:rPr>
          <w:rFonts w:cs="Arial" w:ascii="Arial" w:hAnsi="Arial"/>
          <w:sz w:val="20"/>
          <w:szCs w:val="20"/>
          <w:lang w:eastAsia="ru-RU"/>
        </w:rPr>
        <w:t>1.6.5. п.</w:t>
      </w:r>
      <w:r>
        <w:rPr>
          <w:rFonts w:cs="Arial" w:ascii="Arial" w:hAnsi="Arial"/>
          <w:bCs/>
          <w:sz w:val="20"/>
          <w:szCs w:val="20"/>
          <w:lang w:eastAsia="ru-RU"/>
        </w:rPr>
        <w:t> </w:t>
      </w:r>
      <w:r>
        <w:rPr>
          <w:rFonts w:cs="Arial" w:ascii="Arial" w:hAnsi="Arial"/>
          <w:sz w:val="20"/>
          <w:szCs w:val="20"/>
          <w:lang w:eastAsia="ru-RU"/>
        </w:rPr>
        <w:t>1.6. «Стадия сопоставления заявок и подведения итогов закупки» подраздела</w:t>
      </w:r>
      <w:r>
        <w:rPr>
          <w:rFonts w:cs="Arial" w:ascii="Arial" w:hAnsi="Arial"/>
          <w:bCs/>
          <w:sz w:val="20"/>
          <w:szCs w:val="20"/>
          <w:lang w:eastAsia="ru-RU"/>
        </w:rPr>
        <w:t> </w:t>
      </w:r>
      <w:r>
        <w:rPr>
          <w:rFonts w:cs="Arial" w:ascii="Arial" w:hAnsi="Arial"/>
          <w:sz w:val="20"/>
          <w:szCs w:val="20"/>
          <w:lang w:eastAsia="ru-RU"/>
        </w:rPr>
        <w:t>2.2.4. «Общий порядок осуществления конкурентной закупки» раздела</w:t>
      </w:r>
      <w:r>
        <w:rPr>
          <w:rFonts w:cs="Arial" w:ascii="Arial" w:hAnsi="Arial"/>
          <w:bCs/>
          <w:sz w:val="20"/>
          <w:szCs w:val="20"/>
          <w:lang w:eastAsia="ru-RU"/>
        </w:rPr>
        <w:t> </w:t>
      </w:r>
      <w:r>
        <w:rPr>
          <w:rFonts w:cs="Arial" w:ascii="Arial" w:hAnsi="Arial"/>
          <w:sz w:val="20"/>
          <w:szCs w:val="20"/>
          <w:lang w:eastAsia="ru-RU"/>
        </w:rPr>
        <w:t>2. «Общий порядок подготовки и осуществления конкурентной закупки» главы</w:t>
      </w:r>
      <w:r>
        <w:rPr>
          <w:rFonts w:cs="Arial" w:ascii="Arial" w:hAnsi="Arial"/>
          <w:bCs/>
          <w:sz w:val="20"/>
          <w:szCs w:val="20"/>
          <w:lang w:eastAsia="ru-RU"/>
        </w:rPr>
        <w:t> </w:t>
      </w:r>
      <w:r>
        <w:rPr>
          <w:rFonts w:cs="Arial" w:ascii="Arial" w:hAnsi="Arial"/>
          <w:sz w:val="20"/>
          <w:szCs w:val="20"/>
          <w:lang w:eastAsia="ru-RU"/>
        </w:rPr>
        <w:t>2. «Способы и формы закупок, общий порядок подготовки и осуществления закупок» Положения «О закупке ООО</w:t>
      </w:r>
      <w:r>
        <w:rPr>
          <w:rFonts w:cs="Arial" w:ascii="Arial" w:hAnsi="Arial"/>
          <w:sz w:val="20"/>
          <w:szCs w:val="20"/>
        </w:rPr>
        <w:t> </w:t>
      </w:r>
      <w:r>
        <w:rPr>
          <w:rFonts w:cs="Arial" w:ascii="Arial" w:hAnsi="Arial"/>
          <w:sz w:val="20"/>
          <w:szCs w:val="20"/>
          <w:lang w:eastAsia="ru-RU"/>
        </w:rPr>
        <w:t xml:space="preserve">«ТатАИСЭнерго», по результатам стадии сопоставления заявок и подведения итогов закупки составляется итоговый протокол. Итоговый протокол размещается в единой информационной системе, если это требуется Федеральным законом </w:t>
      </w:r>
      <w:r>
        <w:rPr>
          <w:rFonts w:cs="Arial" w:ascii="Arial" w:hAnsi="Arial"/>
          <w:sz w:val="20"/>
          <w:szCs w:val="20"/>
        </w:rPr>
        <w:t>от «18» июля 2011 г. № 223-ФЗ «О закупках товаров, работ, услуг отдельными видами юридических лиц»</w:t>
      </w:r>
      <w:r>
        <w:rPr>
          <w:rFonts w:cs="Arial" w:ascii="Arial" w:hAnsi="Arial"/>
          <w:sz w:val="20"/>
          <w:szCs w:val="20"/>
          <w:lang w:eastAsia="ru-RU"/>
        </w:rPr>
        <w:t>. Независимо от иных положений, в случае проведения закупки в электронной форме итоговый протокол размещается на электронной торговой площадке.</w:t>
      </w:r>
    </w:p>
    <w:p>
      <w:pPr>
        <w:pStyle w:val="ListParagraph"/>
        <w:numPr>
          <w:ilvl w:val="0"/>
          <w:numId w:val="1"/>
        </w:numPr>
        <w:bidi w:val="0"/>
        <w:spacing w:lineRule="auto" w:line="276"/>
        <w:ind w:hanging="426" w:start="426" w:end="0"/>
        <w:jc w:val="both"/>
        <w:rPr>
          <w:rFonts w:ascii="Arial" w:hAnsi="Arial" w:cs="Arial"/>
          <w:sz w:val="20"/>
          <w:szCs w:val="20"/>
          <w:lang w:eastAsia="ru-RU"/>
        </w:rPr>
      </w:pPr>
      <w:r>
        <w:rPr>
          <w:rFonts w:cs="Arial" w:ascii="Arial" w:hAnsi="Arial"/>
          <w:sz w:val="20"/>
          <w:szCs w:val="20"/>
          <w:lang w:eastAsia="ru-RU"/>
        </w:rPr>
        <w:t>В соответствии с п.</w:t>
      </w:r>
      <w:r>
        <w:rPr>
          <w:rFonts w:cs="Arial" w:ascii="Arial" w:hAnsi="Arial"/>
          <w:bCs/>
          <w:sz w:val="20"/>
          <w:szCs w:val="20"/>
          <w:lang w:eastAsia="ru-RU"/>
        </w:rPr>
        <w:t> </w:t>
      </w:r>
      <w:r>
        <w:rPr>
          <w:rFonts w:cs="Arial" w:ascii="Arial" w:hAnsi="Arial"/>
          <w:sz w:val="20"/>
          <w:szCs w:val="20"/>
          <w:lang w:eastAsia="ru-RU"/>
        </w:rPr>
        <w:t>1.6.6. п.</w:t>
      </w:r>
      <w:r>
        <w:rPr>
          <w:rFonts w:cs="Arial" w:ascii="Arial" w:hAnsi="Arial"/>
          <w:bCs/>
          <w:sz w:val="20"/>
          <w:szCs w:val="20"/>
          <w:lang w:eastAsia="ru-RU"/>
        </w:rPr>
        <w:t> </w:t>
      </w:r>
      <w:r>
        <w:rPr>
          <w:rFonts w:cs="Arial" w:ascii="Arial" w:hAnsi="Arial"/>
          <w:sz w:val="20"/>
          <w:szCs w:val="20"/>
          <w:lang w:eastAsia="ru-RU"/>
        </w:rPr>
        <w:t>1.6. «Стадия сопоставления заявок и подведения итогов закупки» подраздела</w:t>
      </w:r>
      <w:r>
        <w:rPr>
          <w:rFonts w:cs="Arial" w:ascii="Arial" w:hAnsi="Arial"/>
          <w:bCs/>
          <w:sz w:val="20"/>
          <w:szCs w:val="20"/>
          <w:lang w:eastAsia="ru-RU"/>
        </w:rPr>
        <w:t> </w:t>
      </w:r>
      <w:r>
        <w:rPr>
          <w:rFonts w:cs="Arial" w:ascii="Arial" w:hAnsi="Arial"/>
          <w:sz w:val="20"/>
          <w:szCs w:val="20"/>
          <w:lang w:eastAsia="ru-RU"/>
        </w:rPr>
        <w:t>2.2.4. «Общий порядок осуществления конкурентной закупки» раздела</w:t>
      </w:r>
      <w:r>
        <w:rPr>
          <w:rFonts w:cs="Arial" w:ascii="Arial" w:hAnsi="Arial"/>
          <w:bCs/>
          <w:sz w:val="20"/>
          <w:szCs w:val="20"/>
          <w:lang w:eastAsia="ru-RU"/>
        </w:rPr>
        <w:t> </w:t>
      </w:r>
      <w:r>
        <w:rPr>
          <w:rFonts w:cs="Arial" w:ascii="Arial" w:hAnsi="Arial"/>
          <w:sz w:val="20"/>
          <w:szCs w:val="20"/>
          <w:lang w:eastAsia="ru-RU"/>
        </w:rPr>
        <w:t>2. «Общий порядок подготовки и осуществления конкурентной закупки» главы 2. «Способы и формы закупок, общий порядок подготовки и осуществления закупок» Положения «О закупке ООО</w:t>
      </w:r>
      <w:r>
        <w:rPr>
          <w:rFonts w:cs="Arial" w:ascii="Arial" w:hAnsi="Arial"/>
          <w:sz w:val="20"/>
          <w:szCs w:val="20"/>
        </w:rPr>
        <w:t> </w:t>
      </w:r>
      <w:r>
        <w:rPr>
          <w:rFonts w:cs="Arial" w:ascii="Arial" w:hAnsi="Arial"/>
          <w:sz w:val="20"/>
          <w:szCs w:val="20"/>
          <w:lang w:eastAsia="ru-RU"/>
        </w:rPr>
        <w:t xml:space="preserve">«ТатАИСЭнерго», </w:t>
      </w:r>
      <w:r>
        <w:rPr>
          <w:rFonts w:cs="Arial" w:ascii="Arial" w:hAnsi="Arial"/>
          <w:sz w:val="20"/>
          <w:szCs w:val="20"/>
        </w:rPr>
        <w:t>участник закупки, заявке которого присвоен первый номер в сопоставлении (ранжировании) заявок признается победителем закупки.</w:t>
      </w:r>
    </w:p>
    <w:p>
      <w:pPr>
        <w:pStyle w:val="ListParagraph"/>
        <w:numPr>
          <w:ilvl w:val="0"/>
          <w:numId w:val="1"/>
        </w:numPr>
        <w:bidi w:val="0"/>
        <w:spacing w:lineRule="auto" w:line="276"/>
        <w:ind w:hanging="426" w:start="426" w:end="0"/>
        <w:jc w:val="both"/>
        <w:rPr>
          <w:rFonts w:ascii="Arial" w:hAnsi="Arial" w:cs="Arial"/>
          <w:sz w:val="20"/>
          <w:szCs w:val="20"/>
          <w:lang w:eastAsia="ru-RU"/>
        </w:rPr>
      </w:pPr>
      <w:r>
        <w:rPr>
          <w:rFonts w:cs="Arial" w:ascii="Arial" w:hAnsi="Arial"/>
          <w:sz w:val="20"/>
          <w:szCs w:val="20"/>
        </w:rPr>
        <w:t xml:space="preserve">На основании </w:t>
      </w:r>
      <w:r>
        <w:rPr>
          <w:rFonts w:cs="Arial" w:ascii="Arial" w:hAnsi="Arial"/>
          <w:sz w:val="20"/>
          <w:szCs w:val="20"/>
          <w:lang w:eastAsia="ru-RU"/>
        </w:rPr>
        <w:t>п.</w:t>
      </w:r>
      <w:r>
        <w:rPr>
          <w:rFonts w:cs="Arial" w:ascii="Arial" w:hAnsi="Arial"/>
          <w:bCs/>
          <w:sz w:val="20"/>
          <w:szCs w:val="20"/>
          <w:lang w:eastAsia="ru-RU"/>
        </w:rPr>
        <w:t> </w:t>
      </w:r>
      <w:r>
        <w:rPr>
          <w:rFonts w:cs="Arial" w:ascii="Arial" w:hAnsi="Arial"/>
          <w:sz w:val="20"/>
          <w:szCs w:val="20"/>
          <w:lang w:eastAsia="ru-RU"/>
        </w:rPr>
        <w:t>п. 1.6.4. – 1.6.6. п.</w:t>
      </w:r>
      <w:r>
        <w:rPr>
          <w:rFonts w:cs="Arial" w:ascii="Arial" w:hAnsi="Arial"/>
          <w:bCs/>
          <w:sz w:val="20"/>
          <w:szCs w:val="20"/>
          <w:lang w:eastAsia="ru-RU"/>
        </w:rPr>
        <w:t> </w:t>
      </w:r>
      <w:r>
        <w:rPr>
          <w:rFonts w:cs="Arial" w:ascii="Arial" w:hAnsi="Arial"/>
          <w:sz w:val="20"/>
          <w:szCs w:val="20"/>
          <w:lang w:eastAsia="ru-RU"/>
        </w:rPr>
        <w:t>1.6. «Стадия сопоставления заявок и подведения итогов закупки» подраздела</w:t>
      </w:r>
      <w:r>
        <w:rPr>
          <w:rFonts w:cs="Arial" w:ascii="Arial" w:hAnsi="Arial"/>
          <w:bCs/>
          <w:sz w:val="20"/>
          <w:szCs w:val="20"/>
          <w:lang w:eastAsia="ru-RU"/>
        </w:rPr>
        <w:t> </w:t>
      </w:r>
      <w:r>
        <w:rPr>
          <w:rFonts w:cs="Arial" w:ascii="Arial" w:hAnsi="Arial"/>
          <w:sz w:val="20"/>
          <w:szCs w:val="20"/>
          <w:lang w:eastAsia="ru-RU"/>
        </w:rPr>
        <w:t>2.2.4. «Общий порядок осуществления конкурентной закупки» раздела</w:t>
      </w:r>
      <w:r>
        <w:rPr>
          <w:rFonts w:cs="Arial" w:ascii="Arial" w:hAnsi="Arial"/>
          <w:bCs/>
          <w:sz w:val="20"/>
          <w:szCs w:val="20"/>
          <w:lang w:eastAsia="ru-RU"/>
        </w:rPr>
        <w:t> </w:t>
      </w:r>
      <w:r>
        <w:rPr>
          <w:rFonts w:cs="Arial" w:ascii="Arial" w:hAnsi="Arial"/>
          <w:sz w:val="20"/>
          <w:szCs w:val="20"/>
          <w:lang w:eastAsia="ru-RU"/>
        </w:rPr>
        <w:t>2. «Общий порядок подготовки и осуществления конкурентной закупки» главы</w:t>
      </w:r>
      <w:r>
        <w:rPr>
          <w:rFonts w:cs="Arial" w:ascii="Arial" w:hAnsi="Arial"/>
          <w:bCs/>
          <w:sz w:val="20"/>
          <w:szCs w:val="20"/>
          <w:lang w:eastAsia="ru-RU"/>
        </w:rPr>
        <w:t> </w:t>
      </w:r>
      <w:r>
        <w:rPr>
          <w:rFonts w:cs="Arial" w:ascii="Arial" w:hAnsi="Arial"/>
          <w:sz w:val="20"/>
          <w:szCs w:val="20"/>
          <w:lang w:eastAsia="ru-RU"/>
        </w:rPr>
        <w:t>2. «Способы и формы закупок, общий порядок подготовки и осуществления закупок» Положения «О закупке ООО</w:t>
      </w:r>
      <w:r>
        <w:rPr>
          <w:rFonts w:cs="Arial" w:ascii="Arial" w:hAnsi="Arial"/>
          <w:sz w:val="20"/>
          <w:szCs w:val="20"/>
        </w:rPr>
        <w:t> </w:t>
      </w:r>
      <w:r>
        <w:rPr>
          <w:rFonts w:cs="Arial" w:ascii="Arial" w:hAnsi="Arial"/>
          <w:sz w:val="20"/>
          <w:szCs w:val="20"/>
          <w:lang w:eastAsia="ru-RU"/>
        </w:rPr>
        <w:t xml:space="preserve">«ТатАИСЭнерго», признать победителем закупки по лоту 2025-02-МСП открытый запрос котировок в электронной форме, участниками которого могут быть только субъекты малого и среднего предпринимательства на право заключения договора на оказание услуг по информационной поддержке информационно-справочной системы «Техэксперт: Помощник проектировщика, Стройтехнолог» (3 рабочих места) </w:t>
      </w:r>
      <w:r>
        <w:rPr>
          <w:rFonts w:cs="Arial" w:ascii="Arial" w:hAnsi="Arial"/>
          <w:bCs/>
          <w:sz w:val="20"/>
          <w:szCs w:val="20"/>
          <w:lang w:eastAsia="ru-RU"/>
        </w:rPr>
        <w:t>общество с ограниченной ответственностью «Информпроект Групп» (ИНН 9729177203, КПП 770301001 ОГРН 5177746295711, юридический адрес: 123112, г. Москва, муниципальный округ Пресненский вн. тер. г., Пресненская набережная, дом 12, помещение 19/64).</w:t>
      </w:r>
    </w:p>
    <w:p>
      <w:pPr>
        <w:pStyle w:val="ListParagraph"/>
        <w:numPr>
          <w:ilvl w:val="0"/>
          <w:numId w:val="1"/>
        </w:numPr>
        <w:bidi w:val="0"/>
        <w:spacing w:lineRule="auto" w:line="276"/>
        <w:ind w:hanging="426" w:start="426" w:end="0"/>
        <w:jc w:val="both"/>
        <w:rPr>
          <w:rFonts w:ascii="Arial" w:hAnsi="Arial" w:cs="Arial"/>
          <w:sz w:val="20"/>
          <w:szCs w:val="20"/>
          <w:lang w:eastAsia="ru-RU"/>
        </w:rPr>
      </w:pPr>
      <w:r>
        <w:rPr>
          <w:rFonts w:cs="Arial" w:ascii="Arial" w:hAnsi="Arial"/>
          <w:sz w:val="20"/>
          <w:szCs w:val="20"/>
          <w:lang w:eastAsia="ru-RU"/>
        </w:rPr>
        <w:t xml:space="preserve">Заключить договор с </w:t>
      </w:r>
      <w:r>
        <w:rPr>
          <w:rFonts w:cs="Arial" w:ascii="Arial" w:hAnsi="Arial"/>
          <w:bCs/>
          <w:sz w:val="20"/>
          <w:szCs w:val="20"/>
          <w:lang w:eastAsia="ru-RU"/>
        </w:rPr>
        <w:t>обществом с ограниченной ответственностью «Информпроект Групп» (ИНН 9729177203, КПП 770301001 ОГРН 5177746295711, юридический адрес: 123112, г. Москва, муниципальный округ Пресненский вн. тер. г., Пресненская набережная, дом 12, помещение 19/64)</w:t>
      </w:r>
      <w:r>
        <w:rPr>
          <w:rFonts w:cs="Arial" w:ascii="Arial" w:hAnsi="Arial"/>
          <w:sz w:val="20"/>
          <w:szCs w:val="20"/>
          <w:lang w:eastAsia="ru-RU"/>
        </w:rPr>
        <w:t xml:space="preserve"> на оказание услуг по информационной поддержке информационно-справочной системы «Техэксперт: Помощник проектировщика, Стройтехнолог» (3 рабочих места) по лоту </w:t>
      </w:r>
      <w:r>
        <w:rPr>
          <w:rFonts w:cs="Arial" w:ascii="Arial" w:hAnsi="Arial"/>
          <w:kern w:val="2"/>
          <w:sz w:val="20"/>
          <w:szCs w:val="20"/>
          <w:lang w:eastAsia="ru-RU"/>
        </w:rPr>
        <w:t>№</w:t>
      </w:r>
      <w:r>
        <w:rPr>
          <w:rFonts w:cs="Arial" w:ascii="Arial" w:hAnsi="Arial"/>
          <w:bCs/>
          <w:sz w:val="20"/>
          <w:szCs w:val="20"/>
          <w:lang w:eastAsia="ru-RU"/>
        </w:rPr>
        <w:t> </w:t>
      </w:r>
      <w:r>
        <w:rPr>
          <w:rFonts w:cs="Arial" w:ascii="Arial" w:hAnsi="Arial"/>
          <w:kern w:val="2"/>
          <w:sz w:val="20"/>
          <w:szCs w:val="20"/>
          <w:lang w:eastAsia="ru-RU"/>
        </w:rPr>
        <w:t xml:space="preserve">2025-02-МСП </w:t>
      </w:r>
      <w:r>
        <w:rPr>
          <w:rFonts w:cs="Arial" w:ascii="Arial" w:hAnsi="Arial"/>
          <w:sz w:val="20"/>
          <w:szCs w:val="20"/>
          <w:lang w:eastAsia="ru-RU"/>
        </w:rPr>
        <w:t xml:space="preserve">на сумму </w:t>
      </w:r>
      <w:r>
        <w:rPr>
          <w:rFonts w:cs="Arial" w:ascii="Arial" w:hAnsi="Arial"/>
          <w:sz w:val="20"/>
          <w:szCs w:val="20"/>
        </w:rPr>
        <w:t>276 375,00 руб. (двести семьдесят шесть тысяч триста семьдесят пять руб. 00 коп.) без учета налога на добавленную стоимость, кроме того НДС – 55 275,00 руб. (пятьдесят пять тысяч двести семьдесят пять руб. 00 коп.), итого с учетом налога на добавленную стоимость – 331 650,00 руб. (триста тридцать одна тысяча шестьсот пятьдесят руб. 00 коп.). Порядок оказания услуг, порядок расчетов – согласно закупочной документации.</w:t>
      </w:r>
    </w:p>
    <w:p>
      <w:pPr>
        <w:pStyle w:val="ListParagraph"/>
        <w:numPr>
          <w:ilvl w:val="0"/>
          <w:numId w:val="1"/>
        </w:numPr>
        <w:bidi w:val="0"/>
        <w:spacing w:lineRule="auto" w:line="276"/>
        <w:ind w:hanging="426" w:start="426" w:end="0"/>
        <w:jc w:val="both"/>
        <w:rPr>
          <w:rFonts w:ascii="Arial" w:hAnsi="Arial" w:cs="Arial"/>
          <w:sz w:val="20"/>
          <w:szCs w:val="20"/>
          <w:lang w:eastAsia="ru-RU"/>
        </w:rPr>
      </w:pPr>
      <w:r>
        <w:rPr>
          <w:rFonts w:cs="Arial" w:ascii="Arial" w:hAnsi="Arial"/>
          <w:sz w:val="20"/>
          <w:szCs w:val="20"/>
        </w:rPr>
        <w:t>Ответственному секретарю подготовить протокол заседания Центральной закупочной комиссии ООО</w:t>
      </w:r>
      <w:r>
        <w:rPr>
          <w:rFonts w:cs="Arial" w:ascii="Arial" w:hAnsi="Arial"/>
          <w:sz w:val="20"/>
          <w:szCs w:val="20"/>
          <w:lang w:eastAsia="ru-RU"/>
        </w:rPr>
        <w:t> </w:t>
      </w:r>
      <w:r>
        <w:rPr>
          <w:rFonts w:cs="Arial" w:ascii="Arial" w:hAnsi="Arial"/>
          <w:sz w:val="20"/>
          <w:szCs w:val="20"/>
        </w:rPr>
        <w:t>«ТатАИСЭнерго» для опубликования.</w:t>
      </w:r>
    </w:p>
    <w:p>
      <w:pPr>
        <w:pStyle w:val="ListParagraph"/>
        <w:numPr>
          <w:ilvl w:val="0"/>
          <w:numId w:val="1"/>
        </w:numPr>
        <w:bidi w:val="0"/>
        <w:spacing w:lineRule="auto" w:line="276"/>
        <w:ind w:hanging="426" w:start="426" w:end="0"/>
        <w:jc w:val="both"/>
        <w:rPr>
          <w:rFonts w:ascii="Arial" w:hAnsi="Arial" w:cs="Arial"/>
          <w:sz w:val="20"/>
          <w:szCs w:val="20"/>
          <w:lang w:eastAsia="ru-RU"/>
        </w:rPr>
      </w:pPr>
      <w:r>
        <w:rPr>
          <w:rFonts w:cs="Arial" w:ascii="Arial" w:hAnsi="Arial"/>
          <w:sz w:val="20"/>
          <w:szCs w:val="20"/>
          <w:lang w:eastAsia="ru-RU"/>
        </w:rPr>
        <w:t>Утвердить протокол заседания Центральной закупочной комиссии по рассмотрению и оценке заявок на участие в закупке.</w:t>
      </w:r>
    </w:p>
    <w:p>
      <w:pPr>
        <w:pStyle w:val="ListParagraph"/>
        <w:numPr>
          <w:ilvl w:val="0"/>
          <w:numId w:val="0"/>
        </w:numPr>
        <w:bidi w:val="0"/>
        <w:spacing w:lineRule="auto" w:line="240" w:before="0" w:after="0"/>
        <w:ind w:hanging="0" w:start="720"/>
        <w:contextualSpacing/>
        <w:outlineLvl w:val="1"/>
        <w:rPr>
          <w:rFonts w:ascii="Arial" w:hAnsi="Arial" w:cs="Arial"/>
          <w:sz w:val="20"/>
          <w:szCs w:val="20"/>
          <w:lang w:eastAsia="ru-RU"/>
        </w:rPr>
      </w:pPr>
      <w:r>
        <w:rPr>
          <w:rFonts w:cs="Arial" w:ascii="Arial" w:hAnsi="Arial"/>
          <w:sz w:val="20"/>
          <w:szCs w:val="20"/>
          <w:lang w:eastAsia="ru-RU"/>
        </w:rPr>
      </w:r>
    </w:p>
    <w:p>
      <w:pPr>
        <w:pStyle w:val="ListParagraph"/>
        <w:numPr>
          <w:ilvl w:val="0"/>
          <w:numId w:val="0"/>
        </w:numPr>
        <w:bidi w:val="0"/>
        <w:spacing w:lineRule="auto" w:line="240" w:before="0" w:after="0"/>
        <w:ind w:hanging="0" w:start="720"/>
        <w:contextualSpacing/>
        <w:outlineLvl w:val="1"/>
        <w:rPr>
          <w:rFonts w:ascii="Arial" w:hAnsi="Arial" w:cs="Arial"/>
          <w:sz w:val="20"/>
          <w:szCs w:val="20"/>
          <w:lang w:eastAsia="ru-RU"/>
        </w:rPr>
      </w:pPr>
      <w:r>
        <w:rPr>
          <w:rFonts w:cs="Arial" w:ascii="Arial" w:hAnsi="Arial"/>
          <w:sz w:val="20"/>
          <w:szCs w:val="20"/>
          <w:lang w:eastAsia="ru-RU"/>
        </w:rPr>
      </w:r>
    </w:p>
    <w:p>
      <w:pPr>
        <w:pStyle w:val="Normal"/>
        <w:numPr>
          <w:ilvl w:val="0"/>
          <w:numId w:val="0"/>
        </w:numPr>
        <w:bidi w:val="0"/>
        <w:spacing w:lineRule="auto" w:line="240" w:before="0" w:after="0"/>
        <w:ind w:hanging="0" w:start="0" w:end="0"/>
        <w:outlineLvl w:val="1"/>
        <w:rPr>
          <w:rFonts w:ascii="Arial" w:hAnsi="Arial" w:cs="Arial"/>
          <w:sz w:val="20"/>
          <w:szCs w:val="20"/>
          <w:lang w:eastAsia="ru-RU"/>
        </w:rPr>
      </w:pPr>
      <w:r>
        <w:rPr>
          <w:rFonts w:cs="Arial" w:ascii="Arial" w:hAnsi="Arial"/>
          <w:sz w:val="20"/>
          <w:szCs w:val="20"/>
          <w:lang w:eastAsia="ru-RU"/>
        </w:rPr>
        <w:t>Результаты голосования:</w:t>
      </w:r>
    </w:p>
    <w:p>
      <w:pPr>
        <w:pStyle w:val="Normal"/>
        <w:numPr>
          <w:ilvl w:val="0"/>
          <w:numId w:val="0"/>
        </w:numPr>
        <w:bidi w:val="0"/>
        <w:spacing w:lineRule="auto" w:line="240" w:before="0" w:after="0"/>
        <w:ind w:hanging="0" w:start="0" w:end="0"/>
        <w:outlineLvl w:val="1"/>
        <w:rPr>
          <w:rFonts w:ascii="Arial" w:hAnsi="Arial" w:cs="Arial"/>
          <w:sz w:val="20"/>
          <w:szCs w:val="20"/>
          <w:lang w:eastAsia="ru-RU"/>
        </w:rPr>
      </w:pPr>
      <w:r>
        <w:rPr>
          <w:rFonts w:cs="Arial" w:ascii="Arial" w:hAnsi="Arial"/>
          <w:sz w:val="20"/>
          <w:szCs w:val="20"/>
          <w:lang w:eastAsia="ru-RU"/>
        </w:rPr>
      </w:r>
    </w:p>
    <w:p>
      <w:pPr>
        <w:pStyle w:val="Normal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  <w:lang w:eastAsia="ru-RU"/>
        </w:rPr>
      </w:pPr>
      <w:r>
        <w:rPr>
          <w:rFonts w:cs="Arial" w:ascii="Arial" w:hAnsi="Arial"/>
          <w:sz w:val="20"/>
          <w:szCs w:val="20"/>
          <w:lang w:eastAsia="ru-RU"/>
        </w:rPr>
        <w:t xml:space="preserve">«За» </w:t>
      </w:r>
      <w:r>
        <w:rPr>
          <w:rFonts w:cs="Arial" w:ascii="Arial" w:hAnsi="Arial"/>
          <w:sz w:val="20"/>
          <w:szCs w:val="20"/>
          <w:u w:val="single"/>
          <w:lang w:eastAsia="ru-RU"/>
        </w:rPr>
        <w:t xml:space="preserve">  6  </w:t>
      </w:r>
      <w:r>
        <w:rPr>
          <w:rFonts w:cs="Arial" w:ascii="Arial" w:hAnsi="Arial"/>
          <w:sz w:val="20"/>
          <w:szCs w:val="20"/>
          <w:lang w:eastAsia="ru-RU"/>
        </w:rPr>
        <w:t xml:space="preserve"> членов комиссии.</w:t>
      </w:r>
    </w:p>
    <w:p>
      <w:pPr>
        <w:pStyle w:val="Normal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  <w:lang w:eastAsia="ru-RU"/>
        </w:rPr>
      </w:pPr>
      <w:r>
        <w:rPr>
          <w:rFonts w:cs="Arial" w:ascii="Arial" w:hAnsi="Arial"/>
          <w:sz w:val="20"/>
          <w:szCs w:val="20"/>
          <w:lang w:eastAsia="ru-RU"/>
        </w:rPr>
        <w:t xml:space="preserve">«Против» </w:t>
      </w:r>
      <w:r>
        <w:rPr>
          <w:rFonts w:cs="Arial" w:ascii="Arial" w:hAnsi="Arial"/>
          <w:sz w:val="20"/>
          <w:szCs w:val="20"/>
          <w:u w:val="single"/>
          <w:lang w:eastAsia="ru-RU"/>
        </w:rPr>
        <w:t>  0  </w:t>
      </w:r>
      <w:r>
        <w:rPr>
          <w:rFonts w:cs="Arial" w:ascii="Arial" w:hAnsi="Arial"/>
          <w:sz w:val="20"/>
          <w:szCs w:val="20"/>
          <w:lang w:eastAsia="ru-RU"/>
        </w:rPr>
        <w:t xml:space="preserve"> членов комиссии.</w:t>
      </w:r>
    </w:p>
    <w:p>
      <w:pPr>
        <w:pStyle w:val="Normal"/>
        <w:tabs>
          <w:tab w:val="clear" w:pos="708"/>
          <w:tab w:val="center" w:pos="4961" w:leader="none"/>
        </w:tabs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  <w:lang w:eastAsia="ru-RU"/>
        </w:rPr>
      </w:pPr>
      <w:r>
        <w:rPr>
          <w:rFonts w:cs="Arial" w:ascii="Arial" w:hAnsi="Arial"/>
          <w:sz w:val="20"/>
          <w:szCs w:val="20"/>
          <w:lang w:eastAsia="ru-RU"/>
        </w:rPr>
        <w:t xml:space="preserve">«Воздержалось» </w:t>
      </w:r>
      <w:r>
        <w:rPr>
          <w:rFonts w:cs="Arial" w:ascii="Arial" w:hAnsi="Arial"/>
          <w:sz w:val="20"/>
          <w:szCs w:val="20"/>
          <w:u w:val="single"/>
          <w:lang w:eastAsia="ru-RU"/>
        </w:rPr>
        <w:t>  0  </w:t>
      </w:r>
      <w:r>
        <w:rPr>
          <w:rFonts w:cs="Arial" w:ascii="Arial" w:hAnsi="Arial"/>
          <w:sz w:val="20"/>
          <w:szCs w:val="20"/>
          <w:lang w:eastAsia="ru-RU"/>
        </w:rPr>
        <w:t xml:space="preserve"> членов комиссии</w:t>
      </w:r>
    </w:p>
    <w:p>
      <w:pPr>
        <w:pStyle w:val="Normal"/>
        <w:numPr>
          <w:ilvl w:val="0"/>
          <w:numId w:val="0"/>
        </w:numPr>
        <w:bidi w:val="0"/>
        <w:spacing w:lineRule="auto" w:line="240" w:before="0" w:after="0"/>
        <w:ind w:hanging="0" w:start="0" w:end="0"/>
        <w:outlineLvl w:val="1"/>
        <w:rPr>
          <w:rFonts w:ascii="Arial" w:hAnsi="Arial" w:cs="Arial"/>
          <w:sz w:val="20"/>
          <w:szCs w:val="20"/>
          <w:lang w:eastAsia="ru-RU"/>
        </w:rPr>
      </w:pPr>
      <w:r>
        <w:rPr>
          <w:rFonts w:cs="Arial" w:ascii="Arial" w:hAnsi="Arial"/>
          <w:sz w:val="20"/>
          <w:szCs w:val="20"/>
          <w:lang w:eastAsia="ru-RU"/>
        </w:rPr>
        <w:t xml:space="preserve">«Отсутствовало» </w:t>
      </w:r>
      <w:r>
        <w:rPr>
          <w:rFonts w:cs="Arial" w:ascii="Arial" w:hAnsi="Arial"/>
          <w:sz w:val="20"/>
          <w:szCs w:val="20"/>
          <w:u w:val="single"/>
          <w:lang w:eastAsia="ru-RU"/>
        </w:rPr>
        <w:t>  1 </w:t>
      </w:r>
      <w:r>
        <w:rPr>
          <w:rFonts w:cs="Arial" w:ascii="Arial" w:hAnsi="Arial"/>
          <w:sz w:val="20"/>
          <w:szCs w:val="20"/>
          <w:lang w:eastAsia="ru-RU"/>
        </w:rPr>
        <w:t xml:space="preserve"> член комиссии</w:t>
      </w:r>
    </w:p>
    <w:p>
      <w:pPr>
        <w:pStyle w:val="Normal"/>
        <w:numPr>
          <w:ilvl w:val="0"/>
          <w:numId w:val="0"/>
        </w:numPr>
        <w:bidi w:val="0"/>
        <w:spacing w:lineRule="auto" w:line="240" w:before="0" w:after="0"/>
        <w:ind w:hanging="0" w:start="0" w:end="0"/>
        <w:outlineLvl w:val="1"/>
        <w:rPr>
          <w:rFonts w:ascii="Arial" w:hAnsi="Arial" w:cs="Arial"/>
          <w:sz w:val="20"/>
          <w:szCs w:val="20"/>
          <w:lang w:eastAsia="ru-RU"/>
        </w:rPr>
      </w:pPr>
      <w:r>
        <w:rPr>
          <w:rFonts w:cs="Arial" w:ascii="Arial" w:hAnsi="Arial"/>
          <w:sz w:val="20"/>
          <w:szCs w:val="20"/>
          <w:lang w:eastAsia="ru-RU"/>
        </w:rPr>
      </w:r>
    </w:p>
    <w:p>
      <w:pPr>
        <w:pStyle w:val="Normal"/>
        <w:bidi w:val="0"/>
        <w:spacing w:lineRule="auto" w:line="276"/>
        <w:ind w:hanging="0" w:start="0" w:end="0"/>
        <w:rPr>
          <w:rFonts w:ascii="Arial" w:hAnsi="Arial" w:cs="Arial"/>
          <w:sz w:val="20"/>
          <w:szCs w:val="20"/>
          <w:lang w:eastAsia="ru-RU"/>
        </w:rPr>
      </w:pPr>
      <w:r>
        <w:rPr>
          <w:rFonts w:cs="Arial" w:ascii="Arial" w:hAnsi="Arial"/>
          <w:sz w:val="20"/>
          <w:szCs w:val="20"/>
          <w:lang w:eastAsia="ru-RU"/>
        </w:rPr>
      </w:r>
      <w:r>
        <w:br w:type="page"/>
      </w:r>
    </w:p>
    <w:p>
      <w:pPr>
        <w:pStyle w:val="ListParagraph"/>
        <w:numPr>
          <w:ilvl w:val="0"/>
          <w:numId w:val="0"/>
        </w:numPr>
        <w:bidi w:val="0"/>
        <w:spacing w:lineRule="auto" w:line="240" w:before="0" w:after="0"/>
        <w:ind w:hanging="0" w:start="0" w:end="0"/>
        <w:contextualSpacing/>
        <w:outlineLvl w:val="1"/>
        <w:rPr>
          <w:rFonts w:ascii="Arial" w:hAnsi="Arial" w:cs="Arial"/>
          <w:sz w:val="20"/>
          <w:szCs w:val="20"/>
          <w:lang w:eastAsia="ru-RU"/>
        </w:rPr>
      </w:pPr>
      <w:r>
        <w:rPr>
          <w:rFonts w:cs="Arial" w:ascii="Arial" w:hAnsi="Arial"/>
          <w:sz w:val="20"/>
          <w:szCs w:val="20"/>
          <w:lang w:eastAsia="ru-RU"/>
        </w:rPr>
        <w:t>Подписи членов комиссии:</w:t>
      </w:r>
    </w:p>
    <w:p>
      <w:pPr>
        <w:pStyle w:val="ListParagraph"/>
        <w:numPr>
          <w:ilvl w:val="0"/>
          <w:numId w:val="0"/>
        </w:numPr>
        <w:bidi w:val="0"/>
        <w:spacing w:lineRule="auto" w:line="240" w:before="0" w:after="0"/>
        <w:ind w:hanging="0" w:start="0" w:end="0"/>
        <w:contextualSpacing/>
        <w:outlineLvl w:val="1"/>
        <w:rPr>
          <w:rFonts w:ascii="Arial" w:hAnsi="Arial" w:cs="Arial"/>
          <w:sz w:val="20"/>
          <w:szCs w:val="20"/>
          <w:lang w:eastAsia="ru-RU"/>
        </w:rPr>
      </w:pPr>
      <w:r>
        <w:rPr>
          <w:rFonts w:cs="Arial" w:ascii="Arial" w:hAnsi="Arial"/>
          <w:sz w:val="20"/>
          <w:szCs w:val="20"/>
          <w:lang w:eastAsia="ru-RU"/>
        </w:rPr>
      </w:r>
    </w:p>
    <w:tbl>
      <w:tblPr>
        <w:tblW w:w="9905" w:type="dxa"/>
        <w:jc w:val="start"/>
        <w:tblInd w:w="0" w:type="dxa"/>
        <w:tblLayout w:type="fixed"/>
        <w:tblCellMar>
          <w:top w:w="45" w:type="dxa"/>
          <w:start w:w="108" w:type="dxa"/>
          <w:bottom w:w="45" w:type="dxa"/>
          <w:end w:w="108" w:type="dxa"/>
        </w:tblCellMar>
      </w:tblPr>
      <w:tblGrid>
        <w:gridCol w:w="7560"/>
        <w:gridCol w:w="2345"/>
      </w:tblGrid>
      <w:tr>
        <w:trPr/>
        <w:tc>
          <w:tcPr>
            <w:tcW w:w="7560" w:type="dxa"/>
            <w:tcBorders/>
          </w:tcPr>
          <w:p>
            <w:pPr>
              <w:pStyle w:val="Normal"/>
              <w:numPr>
                <w:ilvl w:val="0"/>
                <w:numId w:val="0"/>
              </w:numPr>
              <w:tabs>
                <w:tab w:val="clear" w:pos="708"/>
              </w:tabs>
              <w:bidi w:val="0"/>
              <w:spacing w:lineRule="auto" w:line="264" w:before="0" w:after="0"/>
              <w:ind w:hanging="0" w:start="0" w:end="0"/>
              <w:jc w:val="both"/>
              <w:outlineLvl w:val="1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  <w:lang w:eastAsia="ru-RU"/>
              </w:rPr>
            </w:r>
          </w:p>
          <w:p>
            <w:pPr>
              <w:pStyle w:val="Normal"/>
              <w:numPr>
                <w:ilvl w:val="0"/>
                <w:numId w:val="0"/>
              </w:numPr>
              <w:tabs>
                <w:tab w:val="clear" w:pos="708"/>
              </w:tabs>
              <w:bidi w:val="0"/>
              <w:spacing w:lineRule="auto" w:line="264" w:before="0" w:after="0"/>
              <w:ind w:hanging="0" w:start="0" w:end="0"/>
              <w:jc w:val="both"/>
              <w:outlineLvl w:val="1"/>
              <w:rPr>
                <w:rFonts w:ascii="Arial" w:hAnsi="Arial" w:cs="Arial"/>
                <w:sz w:val="20"/>
                <w:szCs w:val="20"/>
                <w:lang w:eastAsia="ru-RU"/>
              </w:rPr>
            </w:pPr>
            <w:r>
              <w:rPr>
                <w:rFonts w:cs="Arial" w:ascii="Arial" w:hAnsi="Arial"/>
                <w:sz w:val="20"/>
                <w:szCs w:val="20"/>
                <w:lang w:eastAsia="ru-RU"/>
              </w:rPr>
              <w:t>Мирсияпов Ришад Рашидович,</w:t>
            </w:r>
          </w:p>
          <w:p>
            <w:pPr>
              <w:pStyle w:val="Normal"/>
              <w:numPr>
                <w:ilvl w:val="0"/>
                <w:numId w:val="0"/>
              </w:numPr>
              <w:tabs>
                <w:tab w:val="clear" w:pos="708"/>
              </w:tabs>
              <w:bidi w:val="0"/>
              <w:spacing w:lineRule="auto" w:line="264" w:before="0" w:after="0"/>
              <w:ind w:hanging="0" w:start="0" w:end="0"/>
              <w:jc w:val="both"/>
              <w:outlineLvl w:val="1"/>
              <w:rPr/>
            </w:pPr>
            <w:r>
              <w:rPr>
                <w:rFonts w:cs="Arial" w:ascii="Arial" w:hAnsi="Arial"/>
                <w:sz w:val="20"/>
                <w:szCs w:val="20"/>
                <w:lang w:eastAsia="ru-RU"/>
              </w:rPr>
              <w:t>директор – председатель Центральной закупочной комиссии</w:t>
            </w:r>
          </w:p>
        </w:tc>
        <w:tc>
          <w:tcPr>
            <w:tcW w:w="2345" w:type="dxa"/>
            <w:tcBorders/>
            <w:tcMar>
              <w:top w:w="0" w:type="dxa"/>
              <w:bottom w:w="0" w:type="dxa"/>
            </w:tcMar>
          </w:tcPr>
          <w:p>
            <w:pPr>
              <w:pStyle w:val="Normal"/>
              <w:numPr>
                <w:ilvl w:val="0"/>
                <w:numId w:val="0"/>
              </w:numPr>
              <w:tabs>
                <w:tab w:val="clear" w:pos="708"/>
              </w:tabs>
              <w:bidi w:val="0"/>
              <w:spacing w:lineRule="auto" w:line="264" w:before="0" w:after="0"/>
              <w:ind w:hanging="0" w:start="0" w:end="0"/>
              <w:jc w:val="both"/>
              <w:outlineLvl w:val="1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  <w:lang w:eastAsia="ru-RU"/>
              </w:rPr>
            </w:r>
          </w:p>
          <w:p>
            <w:pPr>
              <w:pStyle w:val="Normal"/>
              <w:numPr>
                <w:ilvl w:val="0"/>
                <w:numId w:val="0"/>
              </w:numPr>
              <w:tabs>
                <w:tab w:val="clear" w:pos="708"/>
              </w:tabs>
              <w:bidi w:val="0"/>
              <w:spacing w:lineRule="auto" w:line="264" w:before="0" w:after="0"/>
              <w:ind w:hanging="0" w:start="0" w:end="0"/>
              <w:jc w:val="both"/>
              <w:outlineLvl w:val="1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  <w:lang w:eastAsia="ru-RU"/>
              </w:rPr>
            </w:r>
          </w:p>
          <w:p>
            <w:pPr>
              <w:pStyle w:val="Normal"/>
              <w:numPr>
                <w:ilvl w:val="0"/>
                <w:numId w:val="0"/>
              </w:numPr>
              <w:tabs>
                <w:tab w:val="clear" w:pos="708"/>
              </w:tabs>
              <w:bidi w:val="0"/>
              <w:spacing w:lineRule="auto" w:line="264" w:before="0" w:after="0"/>
              <w:ind w:hanging="0" w:start="0" w:end="0"/>
              <w:jc w:val="both"/>
              <w:outlineLvl w:val="1"/>
              <w:rPr/>
            </w:pPr>
            <w:r>
              <w:rPr>
                <w:rFonts w:cs="Arial" w:ascii="Arial" w:hAnsi="Arial"/>
                <w:color w:val="000000"/>
                <w:sz w:val="20"/>
                <w:szCs w:val="20"/>
                <w:lang w:eastAsia="ru-RU"/>
              </w:rPr>
              <w:t>________________</w:t>
            </w:r>
          </w:p>
        </w:tc>
      </w:tr>
      <w:tr>
        <w:trPr/>
        <w:tc>
          <w:tcPr>
            <w:tcW w:w="7560" w:type="dxa"/>
            <w:tcBorders/>
            <w:tcMar>
              <w:top w:w="0" w:type="dxa"/>
              <w:bottom w:w="0" w:type="dxa"/>
            </w:tcMar>
          </w:tcPr>
          <w:p>
            <w:pPr>
              <w:pStyle w:val="Normal"/>
              <w:numPr>
                <w:ilvl w:val="0"/>
                <w:numId w:val="0"/>
              </w:numPr>
              <w:tabs>
                <w:tab w:val="clear" w:pos="708"/>
              </w:tabs>
              <w:bidi w:val="0"/>
              <w:spacing w:lineRule="auto" w:line="264" w:before="0" w:after="0"/>
              <w:ind w:hanging="0" w:start="0" w:end="0"/>
              <w:jc w:val="both"/>
              <w:outlineLvl w:val="1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W w:w="2345" w:type="dxa"/>
            <w:tcBorders/>
            <w:tcMar>
              <w:top w:w="0" w:type="dxa"/>
              <w:bottom w:w="0" w:type="dxa"/>
            </w:tcMar>
          </w:tcPr>
          <w:p>
            <w:pPr>
              <w:pStyle w:val="Normal"/>
              <w:numPr>
                <w:ilvl w:val="0"/>
                <w:numId w:val="0"/>
              </w:numPr>
              <w:tabs>
                <w:tab w:val="clear" w:pos="708"/>
              </w:tabs>
              <w:bidi w:val="0"/>
              <w:spacing w:lineRule="auto" w:line="264" w:before="0" w:after="0"/>
              <w:ind w:hanging="0" w:start="0" w:end="0"/>
              <w:jc w:val="both"/>
              <w:outlineLvl w:val="1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  <w:lang w:eastAsia="ru-RU"/>
              </w:rPr>
            </w:r>
          </w:p>
        </w:tc>
      </w:tr>
      <w:tr>
        <w:trPr/>
        <w:tc>
          <w:tcPr>
            <w:tcW w:w="7560" w:type="dxa"/>
            <w:tcBorders/>
            <w:tcMar>
              <w:top w:w="0" w:type="dxa"/>
              <w:bottom w:w="0" w:type="dxa"/>
            </w:tcMar>
          </w:tcPr>
          <w:p>
            <w:pPr>
              <w:pStyle w:val="Normal"/>
              <w:numPr>
                <w:ilvl w:val="0"/>
                <w:numId w:val="0"/>
              </w:numPr>
              <w:bidi w:val="0"/>
              <w:spacing w:lineRule="auto" w:line="264" w:before="0" w:after="0"/>
              <w:ind w:hanging="0" w:start="0" w:end="0"/>
              <w:jc w:val="both"/>
              <w:outlineLvl w:val="1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  <w:lang w:eastAsia="ru-RU"/>
              </w:rPr>
            </w:r>
          </w:p>
          <w:p>
            <w:pPr>
              <w:pStyle w:val="Normal"/>
              <w:numPr>
                <w:ilvl w:val="0"/>
                <w:numId w:val="0"/>
              </w:numPr>
              <w:bidi w:val="0"/>
              <w:spacing w:lineRule="auto" w:line="264" w:before="0" w:after="0"/>
              <w:ind w:hanging="0" w:start="0" w:end="0"/>
              <w:jc w:val="both"/>
              <w:outlineLvl w:val="1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  <w:lang w:eastAsia="ru-RU"/>
              </w:rPr>
            </w:r>
          </w:p>
          <w:p>
            <w:pPr>
              <w:pStyle w:val="Normal"/>
              <w:numPr>
                <w:ilvl w:val="0"/>
                <w:numId w:val="0"/>
              </w:numPr>
              <w:bidi w:val="0"/>
              <w:spacing w:lineRule="auto" w:line="264" w:before="0" w:after="0"/>
              <w:ind w:hanging="0" w:start="0" w:end="0"/>
              <w:jc w:val="both"/>
              <w:outlineLvl w:val="1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  <w:lang w:eastAsia="ru-RU"/>
              </w:rPr>
              <w:t>Члены Центральной закупочной комиссии:</w:t>
            </w:r>
          </w:p>
          <w:p>
            <w:pPr>
              <w:pStyle w:val="Normal"/>
              <w:numPr>
                <w:ilvl w:val="0"/>
                <w:numId w:val="0"/>
              </w:numPr>
              <w:bidi w:val="0"/>
              <w:spacing w:lineRule="auto" w:line="264" w:before="0" w:after="0"/>
              <w:ind w:hanging="0" w:start="0" w:end="0"/>
              <w:jc w:val="both"/>
              <w:outlineLvl w:val="1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W w:w="2345" w:type="dxa"/>
            <w:tcBorders/>
            <w:tcMar>
              <w:top w:w="0" w:type="dxa"/>
              <w:bottom w:w="0" w:type="dxa"/>
            </w:tcMar>
          </w:tcPr>
          <w:p>
            <w:pPr>
              <w:pStyle w:val="Normal"/>
              <w:numPr>
                <w:ilvl w:val="0"/>
                <w:numId w:val="0"/>
              </w:numPr>
              <w:bidi w:val="0"/>
              <w:spacing w:lineRule="auto" w:line="264" w:before="0" w:after="0"/>
              <w:ind w:hanging="0" w:start="0" w:end="0"/>
              <w:jc w:val="both"/>
              <w:outlineLvl w:val="1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  <w:lang w:eastAsia="ru-RU"/>
              </w:rPr>
            </w:r>
          </w:p>
        </w:tc>
      </w:tr>
      <w:tr>
        <w:trPr/>
        <w:tc>
          <w:tcPr>
            <w:tcW w:w="7560" w:type="dxa"/>
            <w:tcBorders/>
            <w:tcMar>
              <w:top w:w="0" w:type="dxa"/>
              <w:bottom w:w="0" w:type="dxa"/>
            </w:tcMar>
          </w:tcPr>
          <w:p>
            <w:pPr>
              <w:pStyle w:val="Normal"/>
              <w:numPr>
                <w:ilvl w:val="0"/>
                <w:numId w:val="0"/>
              </w:numPr>
              <w:bidi w:val="0"/>
              <w:spacing w:lineRule="auto" w:line="264" w:before="0" w:after="0"/>
              <w:ind w:hanging="0" w:start="0" w:end="0"/>
              <w:jc w:val="both"/>
              <w:outlineLvl w:val="1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  <w:lang w:eastAsia="ru-RU"/>
              </w:rPr>
            </w:r>
          </w:p>
          <w:p>
            <w:pPr>
              <w:pStyle w:val="Normal"/>
              <w:numPr>
                <w:ilvl w:val="0"/>
                <w:numId w:val="0"/>
              </w:numPr>
              <w:bidi w:val="0"/>
              <w:spacing w:lineRule="auto" w:line="264" w:before="0" w:after="0"/>
              <w:ind w:hanging="0" w:start="0" w:end="0"/>
              <w:jc w:val="both"/>
              <w:outlineLvl w:val="1"/>
              <w:rPr>
                <w:rFonts w:ascii="Arial" w:hAnsi="Arial" w:cs="Arial"/>
                <w:sz w:val="20"/>
                <w:szCs w:val="20"/>
                <w:lang w:eastAsia="ru-RU"/>
              </w:rPr>
            </w:pPr>
            <w:r>
              <w:rPr>
                <w:rFonts w:cs="Arial" w:ascii="Arial" w:hAnsi="Arial"/>
                <w:sz w:val="20"/>
                <w:szCs w:val="20"/>
                <w:lang w:eastAsia="ru-RU"/>
              </w:rPr>
              <w:t>Галиуллин Эдуард Зиннурович,</w:t>
            </w:r>
          </w:p>
          <w:p>
            <w:pPr>
              <w:pStyle w:val="Normal"/>
              <w:numPr>
                <w:ilvl w:val="0"/>
                <w:numId w:val="0"/>
              </w:numPr>
              <w:bidi w:val="0"/>
              <w:spacing w:lineRule="auto" w:line="264" w:before="0" w:after="0"/>
              <w:ind w:hanging="0" w:start="0" w:end="0"/>
              <w:jc w:val="both"/>
              <w:outlineLvl w:val="1"/>
              <w:rPr/>
            </w:pPr>
            <w:r>
              <w:rPr>
                <w:rFonts w:cs="Arial" w:ascii="Arial" w:hAnsi="Arial"/>
                <w:sz w:val="20"/>
                <w:szCs w:val="20"/>
                <w:lang w:eastAsia="ru-RU"/>
              </w:rPr>
              <w:t>заместитель директора по производству</w:t>
            </w:r>
          </w:p>
        </w:tc>
        <w:tc>
          <w:tcPr>
            <w:tcW w:w="2345" w:type="dxa"/>
            <w:tcBorders/>
            <w:tcMar>
              <w:top w:w="0" w:type="dxa"/>
              <w:bottom w:w="0" w:type="dxa"/>
            </w:tcMar>
          </w:tcPr>
          <w:p>
            <w:pPr>
              <w:pStyle w:val="Normal"/>
              <w:numPr>
                <w:ilvl w:val="0"/>
                <w:numId w:val="0"/>
              </w:numPr>
              <w:bidi w:val="0"/>
              <w:spacing w:lineRule="auto" w:line="264" w:before="0" w:after="0"/>
              <w:ind w:hanging="0" w:start="0" w:end="0"/>
              <w:jc w:val="both"/>
              <w:outlineLvl w:val="1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  <w:lang w:eastAsia="ru-RU"/>
              </w:rPr>
            </w:r>
          </w:p>
          <w:p>
            <w:pPr>
              <w:pStyle w:val="Normal"/>
              <w:numPr>
                <w:ilvl w:val="0"/>
                <w:numId w:val="0"/>
              </w:numPr>
              <w:bidi w:val="0"/>
              <w:spacing w:lineRule="auto" w:line="264" w:before="0" w:after="0"/>
              <w:ind w:hanging="0" w:start="0" w:end="0"/>
              <w:jc w:val="both"/>
              <w:outlineLvl w:val="1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  <w:lang w:eastAsia="ru-RU"/>
              </w:rPr>
            </w:r>
          </w:p>
          <w:p>
            <w:pPr>
              <w:pStyle w:val="Normal"/>
              <w:numPr>
                <w:ilvl w:val="0"/>
                <w:numId w:val="0"/>
              </w:numPr>
              <w:bidi w:val="0"/>
              <w:spacing w:lineRule="auto" w:line="264" w:before="0" w:after="0"/>
              <w:ind w:hanging="0" w:start="0" w:end="0"/>
              <w:jc w:val="both"/>
              <w:outlineLvl w:val="1"/>
              <w:rPr/>
            </w:pPr>
            <w:r>
              <w:rPr>
                <w:rFonts w:cs="Arial" w:ascii="Arial" w:hAnsi="Arial"/>
                <w:color w:val="000000"/>
                <w:sz w:val="20"/>
                <w:szCs w:val="20"/>
                <w:lang w:eastAsia="ru-RU"/>
              </w:rPr>
              <w:t>________________</w:t>
            </w:r>
          </w:p>
        </w:tc>
      </w:tr>
      <w:tr>
        <w:trPr/>
        <w:tc>
          <w:tcPr>
            <w:tcW w:w="7560" w:type="dxa"/>
            <w:tcBorders/>
            <w:tcMar>
              <w:top w:w="0" w:type="dxa"/>
              <w:bottom w:w="0" w:type="dxa"/>
            </w:tcMar>
          </w:tcPr>
          <w:p>
            <w:pPr>
              <w:pStyle w:val="Normal"/>
              <w:numPr>
                <w:ilvl w:val="0"/>
                <w:numId w:val="0"/>
              </w:numPr>
              <w:bidi w:val="0"/>
              <w:spacing w:lineRule="auto" w:line="264" w:before="0" w:after="0"/>
              <w:ind w:hanging="0" w:start="0" w:end="0"/>
              <w:jc w:val="both"/>
              <w:outlineLvl w:val="1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  <w:lang w:eastAsia="ru-RU"/>
              </w:rPr>
            </w:r>
          </w:p>
          <w:p>
            <w:pPr>
              <w:pStyle w:val="Normal"/>
              <w:numPr>
                <w:ilvl w:val="0"/>
                <w:numId w:val="0"/>
              </w:numPr>
              <w:bidi w:val="0"/>
              <w:spacing w:lineRule="auto" w:line="264" w:before="0" w:after="0"/>
              <w:ind w:hanging="0" w:start="0" w:end="0"/>
              <w:jc w:val="both"/>
              <w:outlineLvl w:val="1"/>
              <w:rPr>
                <w:rFonts w:ascii="Arial" w:hAnsi="Arial" w:cs="Arial"/>
                <w:sz w:val="20"/>
                <w:szCs w:val="20"/>
                <w:lang w:eastAsia="ru-RU"/>
              </w:rPr>
            </w:pPr>
            <w:r>
              <w:rPr>
                <w:rFonts w:cs="Arial" w:ascii="Arial" w:hAnsi="Arial"/>
                <w:sz w:val="20"/>
                <w:szCs w:val="20"/>
                <w:lang w:eastAsia="ru-RU"/>
              </w:rPr>
              <w:t>Бесхлебная Наталья Сергеевна,</w:t>
            </w:r>
          </w:p>
          <w:p>
            <w:pPr>
              <w:pStyle w:val="Normal"/>
              <w:numPr>
                <w:ilvl w:val="0"/>
                <w:numId w:val="0"/>
              </w:numPr>
              <w:bidi w:val="0"/>
              <w:spacing w:lineRule="auto" w:line="264" w:before="0" w:after="0"/>
              <w:ind w:hanging="0" w:start="0" w:end="0"/>
              <w:jc w:val="both"/>
              <w:outlineLvl w:val="1"/>
              <w:rPr/>
            </w:pPr>
            <w:r>
              <w:rPr>
                <w:rFonts w:cs="Arial" w:ascii="Arial" w:hAnsi="Arial"/>
                <w:sz w:val="20"/>
                <w:szCs w:val="20"/>
                <w:lang w:eastAsia="ru-RU"/>
              </w:rPr>
              <w:t>заместитель директора по экономике и ценообразованию</w:t>
            </w:r>
          </w:p>
        </w:tc>
        <w:tc>
          <w:tcPr>
            <w:tcW w:w="2345" w:type="dxa"/>
            <w:tcBorders/>
            <w:tcMar>
              <w:top w:w="0" w:type="dxa"/>
              <w:bottom w:w="0" w:type="dxa"/>
            </w:tcMar>
          </w:tcPr>
          <w:p>
            <w:pPr>
              <w:pStyle w:val="Normal"/>
              <w:numPr>
                <w:ilvl w:val="0"/>
                <w:numId w:val="0"/>
              </w:numPr>
              <w:bidi w:val="0"/>
              <w:spacing w:lineRule="auto" w:line="264" w:before="0" w:after="0"/>
              <w:ind w:hanging="0" w:start="0" w:end="0"/>
              <w:jc w:val="both"/>
              <w:outlineLvl w:val="1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  <w:lang w:eastAsia="ru-RU"/>
              </w:rPr>
            </w:r>
          </w:p>
          <w:p>
            <w:pPr>
              <w:pStyle w:val="Normal"/>
              <w:numPr>
                <w:ilvl w:val="0"/>
                <w:numId w:val="0"/>
              </w:numPr>
              <w:bidi w:val="0"/>
              <w:spacing w:lineRule="auto" w:line="264" w:before="0" w:after="0"/>
              <w:ind w:hanging="0" w:start="0" w:end="0"/>
              <w:jc w:val="both"/>
              <w:outlineLvl w:val="1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  <w:lang w:eastAsia="ru-RU"/>
              </w:rPr>
            </w:r>
          </w:p>
          <w:p>
            <w:pPr>
              <w:pStyle w:val="Normal"/>
              <w:numPr>
                <w:ilvl w:val="0"/>
                <w:numId w:val="0"/>
              </w:numPr>
              <w:bidi w:val="0"/>
              <w:spacing w:lineRule="auto" w:line="264" w:before="0" w:after="0"/>
              <w:ind w:hanging="0" w:start="0" w:end="0"/>
              <w:jc w:val="both"/>
              <w:outlineLvl w:val="1"/>
              <w:rPr/>
            </w:pPr>
            <w:r>
              <w:rPr>
                <w:rFonts w:cs="Arial" w:ascii="Arial" w:hAnsi="Arial"/>
                <w:color w:val="000000"/>
                <w:sz w:val="20"/>
                <w:szCs w:val="20"/>
                <w:lang w:eastAsia="ru-RU"/>
              </w:rPr>
              <w:t>________________</w:t>
            </w:r>
          </w:p>
        </w:tc>
      </w:tr>
      <w:tr>
        <w:trPr/>
        <w:tc>
          <w:tcPr>
            <w:tcW w:w="7560" w:type="dxa"/>
            <w:tcBorders/>
            <w:tcMar>
              <w:top w:w="0" w:type="dxa"/>
              <w:bottom w:w="0" w:type="dxa"/>
            </w:tcMar>
          </w:tcPr>
          <w:p>
            <w:pPr>
              <w:pStyle w:val="Normal"/>
              <w:numPr>
                <w:ilvl w:val="0"/>
                <w:numId w:val="0"/>
              </w:numPr>
              <w:bidi w:val="0"/>
              <w:spacing w:lineRule="auto" w:line="264" w:before="0" w:after="0"/>
              <w:ind w:hanging="0" w:start="0" w:end="0"/>
              <w:jc w:val="both"/>
              <w:outlineLvl w:val="1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  <w:lang w:eastAsia="ru-RU"/>
              </w:rPr>
            </w:r>
          </w:p>
          <w:p>
            <w:pPr>
              <w:pStyle w:val="Normal"/>
              <w:numPr>
                <w:ilvl w:val="0"/>
                <w:numId w:val="0"/>
              </w:numPr>
              <w:bidi w:val="0"/>
              <w:spacing w:lineRule="auto" w:line="264" w:before="0" w:after="0"/>
              <w:ind w:hanging="0" w:start="0" w:end="0"/>
              <w:jc w:val="both"/>
              <w:outlineLvl w:val="1"/>
              <w:rPr>
                <w:rFonts w:ascii="Arial" w:hAnsi="Arial" w:cs="Arial"/>
                <w:sz w:val="20"/>
                <w:szCs w:val="20"/>
                <w:lang w:eastAsia="ru-RU"/>
              </w:rPr>
            </w:pPr>
            <w:r>
              <w:rPr>
                <w:rFonts w:cs="Arial" w:ascii="Arial" w:hAnsi="Arial"/>
                <w:sz w:val="20"/>
                <w:szCs w:val="20"/>
                <w:lang w:eastAsia="ru-RU"/>
              </w:rPr>
              <w:t xml:space="preserve">Давлетшина Елена Николаевна, главный бухгалтер – </w:t>
            </w:r>
          </w:p>
          <w:p>
            <w:pPr>
              <w:pStyle w:val="Normal"/>
              <w:numPr>
                <w:ilvl w:val="0"/>
                <w:numId w:val="0"/>
              </w:numPr>
              <w:bidi w:val="0"/>
              <w:spacing w:lineRule="auto" w:line="264" w:before="0" w:after="0"/>
              <w:ind w:hanging="0" w:start="0" w:end="0"/>
              <w:jc w:val="both"/>
              <w:outlineLvl w:val="1"/>
              <w:rPr/>
            </w:pPr>
            <w:r>
              <w:rPr>
                <w:rFonts w:cs="Arial" w:ascii="Arial" w:hAnsi="Arial"/>
                <w:sz w:val="20"/>
                <w:szCs w:val="20"/>
                <w:lang w:eastAsia="ru-RU"/>
              </w:rPr>
              <w:t>начальник отдела бухгалтерского учета и налогообложения</w:t>
            </w:r>
          </w:p>
        </w:tc>
        <w:tc>
          <w:tcPr>
            <w:tcW w:w="2345" w:type="dxa"/>
            <w:tcBorders/>
            <w:tcMar>
              <w:top w:w="0" w:type="dxa"/>
              <w:bottom w:w="0" w:type="dxa"/>
            </w:tcMar>
          </w:tcPr>
          <w:p>
            <w:pPr>
              <w:pStyle w:val="Normal"/>
              <w:numPr>
                <w:ilvl w:val="0"/>
                <w:numId w:val="0"/>
              </w:numPr>
              <w:bidi w:val="0"/>
              <w:spacing w:lineRule="auto" w:line="264" w:before="0" w:after="0"/>
              <w:ind w:hanging="0" w:start="0" w:end="0"/>
              <w:jc w:val="both"/>
              <w:outlineLvl w:val="1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  <w:lang w:eastAsia="ru-RU"/>
              </w:rPr>
            </w:r>
          </w:p>
          <w:p>
            <w:pPr>
              <w:pStyle w:val="Normal"/>
              <w:numPr>
                <w:ilvl w:val="0"/>
                <w:numId w:val="0"/>
              </w:numPr>
              <w:bidi w:val="0"/>
              <w:spacing w:lineRule="auto" w:line="264" w:before="0" w:after="0"/>
              <w:ind w:hanging="0" w:start="0" w:end="0"/>
              <w:jc w:val="both"/>
              <w:outlineLvl w:val="1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  <w:lang w:eastAsia="ru-RU"/>
              </w:rPr>
            </w:r>
          </w:p>
          <w:p>
            <w:pPr>
              <w:pStyle w:val="Normal"/>
              <w:numPr>
                <w:ilvl w:val="0"/>
                <w:numId w:val="0"/>
              </w:numPr>
              <w:bidi w:val="0"/>
              <w:spacing w:lineRule="auto" w:line="264" w:before="0" w:after="0"/>
              <w:ind w:hanging="0" w:start="0" w:end="0"/>
              <w:jc w:val="both"/>
              <w:outlineLvl w:val="1"/>
              <w:rPr/>
            </w:pPr>
            <w:r>
              <w:rPr>
                <w:rFonts w:cs="Arial" w:ascii="Arial" w:hAnsi="Arial"/>
                <w:color w:val="000000"/>
                <w:sz w:val="20"/>
                <w:szCs w:val="20"/>
                <w:lang w:eastAsia="ru-RU"/>
              </w:rPr>
              <w:t>________________</w:t>
            </w:r>
          </w:p>
        </w:tc>
      </w:tr>
      <w:tr>
        <w:trPr/>
        <w:tc>
          <w:tcPr>
            <w:tcW w:w="7560" w:type="dxa"/>
            <w:tcBorders/>
            <w:tcMar>
              <w:top w:w="0" w:type="dxa"/>
              <w:bottom w:w="0" w:type="dxa"/>
            </w:tcMar>
          </w:tcPr>
          <w:p>
            <w:pPr>
              <w:pStyle w:val="Normal"/>
              <w:numPr>
                <w:ilvl w:val="0"/>
                <w:numId w:val="0"/>
              </w:numPr>
              <w:bidi w:val="0"/>
              <w:spacing w:lineRule="auto" w:line="264" w:before="0" w:after="0"/>
              <w:ind w:hanging="0" w:start="0" w:end="0"/>
              <w:jc w:val="both"/>
              <w:outlineLvl w:val="1"/>
              <w:rPr>
                <w:rFonts w:ascii="Arial" w:hAnsi="Arial" w:cs="Arial"/>
                <w:sz w:val="20"/>
                <w:szCs w:val="20"/>
                <w:lang w:eastAsia="ru-RU"/>
              </w:rPr>
            </w:pPr>
            <w:r>
              <w:rPr>
                <w:rFonts w:cs="Arial" w:ascii="Arial" w:hAnsi="Arial"/>
                <w:sz w:val="20"/>
                <w:szCs w:val="20"/>
                <w:lang w:eastAsia="ru-RU"/>
              </w:rPr>
            </w:r>
          </w:p>
          <w:p>
            <w:pPr>
              <w:pStyle w:val="Normal"/>
              <w:numPr>
                <w:ilvl w:val="0"/>
                <w:numId w:val="0"/>
              </w:numPr>
              <w:bidi w:val="0"/>
              <w:spacing w:lineRule="auto" w:line="264" w:before="0" w:after="0"/>
              <w:ind w:hanging="0" w:start="0" w:end="0"/>
              <w:jc w:val="both"/>
              <w:outlineLvl w:val="1"/>
              <w:rPr>
                <w:rFonts w:ascii="Arial" w:hAnsi="Arial" w:cs="Arial"/>
                <w:sz w:val="20"/>
                <w:szCs w:val="20"/>
                <w:lang w:eastAsia="ru-RU"/>
              </w:rPr>
            </w:pPr>
            <w:r>
              <w:rPr>
                <w:rFonts w:cs="Arial" w:ascii="Arial" w:hAnsi="Arial"/>
                <w:sz w:val="20"/>
                <w:szCs w:val="20"/>
                <w:lang w:eastAsia="ru-RU"/>
              </w:rPr>
              <w:t>Миннебаева Лилия Равильевна,</w:t>
            </w:r>
          </w:p>
          <w:p>
            <w:pPr>
              <w:pStyle w:val="Normal"/>
              <w:numPr>
                <w:ilvl w:val="0"/>
                <w:numId w:val="0"/>
              </w:numPr>
              <w:bidi w:val="0"/>
              <w:spacing w:lineRule="auto" w:line="264" w:before="0" w:after="0"/>
              <w:ind w:hanging="0" w:start="0" w:end="0"/>
              <w:jc w:val="both"/>
              <w:outlineLvl w:val="1"/>
              <w:rPr/>
            </w:pPr>
            <w:r>
              <w:rPr>
                <w:rFonts w:cs="Arial" w:ascii="Arial" w:hAnsi="Arial"/>
                <w:sz w:val="20"/>
                <w:szCs w:val="20"/>
                <w:lang w:eastAsia="ru-RU"/>
              </w:rPr>
              <w:t>заместитель начальника коммерческого отдела</w:t>
            </w:r>
          </w:p>
        </w:tc>
        <w:tc>
          <w:tcPr>
            <w:tcW w:w="2345" w:type="dxa"/>
            <w:tcBorders/>
            <w:tcMar>
              <w:top w:w="0" w:type="dxa"/>
              <w:bottom w:w="0" w:type="dxa"/>
            </w:tcMar>
          </w:tcPr>
          <w:p>
            <w:pPr>
              <w:pStyle w:val="Normal"/>
              <w:numPr>
                <w:ilvl w:val="0"/>
                <w:numId w:val="0"/>
              </w:numPr>
              <w:bidi w:val="0"/>
              <w:spacing w:lineRule="auto" w:line="264" w:before="0" w:after="0"/>
              <w:ind w:hanging="0" w:start="0" w:end="0"/>
              <w:jc w:val="both"/>
              <w:outlineLvl w:val="1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  <w:lang w:eastAsia="ru-RU"/>
              </w:rPr>
            </w:r>
          </w:p>
          <w:p>
            <w:pPr>
              <w:pStyle w:val="Normal"/>
              <w:numPr>
                <w:ilvl w:val="0"/>
                <w:numId w:val="0"/>
              </w:numPr>
              <w:bidi w:val="0"/>
              <w:spacing w:lineRule="auto" w:line="264" w:before="0" w:after="0"/>
              <w:ind w:hanging="0" w:start="0" w:end="0"/>
              <w:jc w:val="both"/>
              <w:outlineLvl w:val="1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  <w:lang w:eastAsia="ru-RU"/>
              </w:rPr>
            </w:r>
          </w:p>
          <w:p>
            <w:pPr>
              <w:pStyle w:val="Normal"/>
              <w:numPr>
                <w:ilvl w:val="0"/>
                <w:numId w:val="0"/>
              </w:numPr>
              <w:bidi w:val="0"/>
              <w:spacing w:lineRule="auto" w:line="264" w:before="0" w:after="0"/>
              <w:ind w:hanging="0" w:start="0" w:end="0"/>
              <w:jc w:val="both"/>
              <w:outlineLvl w:val="1"/>
              <w:rPr/>
            </w:pPr>
            <w:r>
              <w:rPr>
                <w:rFonts w:cs="Arial" w:ascii="Arial" w:hAnsi="Arial"/>
                <w:color w:val="000000"/>
                <w:sz w:val="20"/>
                <w:szCs w:val="20"/>
                <w:lang w:eastAsia="ru-RU"/>
              </w:rPr>
              <w:t>________________</w:t>
            </w:r>
          </w:p>
        </w:tc>
      </w:tr>
      <w:tr>
        <w:trPr/>
        <w:tc>
          <w:tcPr>
            <w:tcW w:w="7560" w:type="dxa"/>
            <w:tcBorders/>
            <w:tcMar>
              <w:top w:w="0" w:type="dxa"/>
              <w:bottom w:w="0" w:type="dxa"/>
            </w:tcMar>
          </w:tcPr>
          <w:p>
            <w:pPr>
              <w:pStyle w:val="Normal"/>
              <w:numPr>
                <w:ilvl w:val="0"/>
                <w:numId w:val="0"/>
              </w:numPr>
              <w:bidi w:val="0"/>
              <w:spacing w:lineRule="auto" w:line="264" w:before="0" w:after="0"/>
              <w:ind w:hanging="0" w:start="0" w:end="0"/>
              <w:jc w:val="both"/>
              <w:outlineLvl w:val="1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  <w:lang w:eastAsia="ru-RU"/>
              </w:rPr>
            </w:r>
          </w:p>
          <w:p>
            <w:pPr>
              <w:pStyle w:val="Normal"/>
              <w:numPr>
                <w:ilvl w:val="0"/>
                <w:numId w:val="0"/>
              </w:numPr>
              <w:bidi w:val="0"/>
              <w:spacing w:lineRule="auto" w:line="264" w:before="0" w:after="0"/>
              <w:ind w:hanging="0" w:start="0" w:end="0"/>
              <w:jc w:val="both"/>
              <w:outlineLvl w:val="1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  <w:lang w:eastAsia="ru-RU"/>
              </w:rPr>
              <w:t>Атнагулов Руслан Мелсович, главный специалист (по правовым вопросам) –</w:t>
            </w:r>
          </w:p>
          <w:p>
            <w:pPr>
              <w:pStyle w:val="Normal"/>
              <w:numPr>
                <w:ilvl w:val="0"/>
                <w:numId w:val="0"/>
              </w:numPr>
              <w:bidi w:val="0"/>
              <w:spacing w:lineRule="auto" w:line="264" w:before="0" w:after="0"/>
              <w:ind w:hanging="0" w:start="0" w:end="0"/>
              <w:jc w:val="both"/>
              <w:outlineLvl w:val="1"/>
              <w:rPr/>
            </w:pPr>
            <w:r>
              <w:rPr>
                <w:rFonts w:cs="Arial" w:ascii="Arial" w:hAnsi="Arial"/>
                <w:color w:val="000000"/>
                <w:sz w:val="20"/>
                <w:szCs w:val="20"/>
                <w:lang w:eastAsia="ru-RU"/>
              </w:rPr>
              <w:t>ответственный секретарь Центральной закупочной комиссии</w:t>
            </w:r>
          </w:p>
        </w:tc>
        <w:tc>
          <w:tcPr>
            <w:tcW w:w="2345" w:type="dxa"/>
            <w:tcBorders/>
            <w:tcMar>
              <w:top w:w="0" w:type="dxa"/>
              <w:bottom w:w="0" w:type="dxa"/>
            </w:tcMar>
          </w:tcPr>
          <w:p>
            <w:pPr>
              <w:pStyle w:val="Normal"/>
              <w:numPr>
                <w:ilvl w:val="0"/>
                <w:numId w:val="0"/>
              </w:numPr>
              <w:bidi w:val="0"/>
              <w:spacing w:lineRule="auto" w:line="264" w:before="0" w:after="0"/>
              <w:ind w:hanging="0" w:start="0" w:end="0"/>
              <w:jc w:val="both"/>
              <w:outlineLvl w:val="1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  <w:lang w:eastAsia="ru-RU"/>
              </w:rPr>
            </w:r>
          </w:p>
          <w:p>
            <w:pPr>
              <w:pStyle w:val="Normal"/>
              <w:numPr>
                <w:ilvl w:val="0"/>
                <w:numId w:val="0"/>
              </w:numPr>
              <w:bidi w:val="0"/>
              <w:spacing w:lineRule="auto" w:line="264" w:before="0" w:after="0"/>
              <w:ind w:hanging="0" w:start="0" w:end="0"/>
              <w:jc w:val="both"/>
              <w:outlineLvl w:val="1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  <w:lang w:eastAsia="ru-RU"/>
              </w:rPr>
            </w:r>
          </w:p>
          <w:p>
            <w:pPr>
              <w:pStyle w:val="Normal"/>
              <w:numPr>
                <w:ilvl w:val="0"/>
                <w:numId w:val="0"/>
              </w:numPr>
              <w:bidi w:val="0"/>
              <w:spacing w:lineRule="auto" w:line="264" w:before="0" w:after="0"/>
              <w:ind w:hanging="0" w:start="0" w:end="0"/>
              <w:jc w:val="both"/>
              <w:outlineLvl w:val="1"/>
              <w:rPr/>
            </w:pPr>
            <w:r>
              <w:rPr>
                <w:rFonts w:cs="Arial" w:ascii="Arial" w:hAnsi="Arial"/>
                <w:color w:val="000000"/>
                <w:sz w:val="20"/>
                <w:szCs w:val="20"/>
                <w:lang w:eastAsia="ru-RU"/>
              </w:rPr>
              <w:t>________________</w:t>
            </w:r>
          </w:p>
        </w:tc>
      </w:tr>
      <w:tr>
        <w:trPr/>
        <w:tc>
          <w:tcPr>
            <w:tcW w:w="7560" w:type="dxa"/>
            <w:tcBorders/>
            <w:tcMar>
              <w:top w:w="0" w:type="dxa"/>
              <w:bottom w:w="0" w:type="dxa"/>
            </w:tcMar>
          </w:tcPr>
          <w:p>
            <w:pPr>
              <w:pStyle w:val="Normal"/>
              <w:numPr>
                <w:ilvl w:val="0"/>
                <w:numId w:val="0"/>
              </w:numPr>
              <w:bidi w:val="0"/>
              <w:spacing w:lineRule="auto" w:line="264" w:before="0" w:after="0"/>
              <w:ind w:hanging="0" w:start="0" w:end="0"/>
              <w:jc w:val="both"/>
              <w:outlineLvl w:val="1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  <w:lang w:eastAsia="ru-RU"/>
              </w:rPr>
            </w:r>
          </w:p>
          <w:p>
            <w:pPr>
              <w:pStyle w:val="Normal"/>
              <w:numPr>
                <w:ilvl w:val="0"/>
                <w:numId w:val="0"/>
              </w:numPr>
              <w:bidi w:val="0"/>
              <w:spacing w:lineRule="auto" w:line="264" w:before="0" w:after="0"/>
              <w:ind w:hanging="0" w:start="0" w:end="0"/>
              <w:jc w:val="both"/>
              <w:outlineLvl w:val="1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W w:w="2345" w:type="dxa"/>
            <w:tcBorders/>
            <w:tcMar>
              <w:top w:w="0" w:type="dxa"/>
              <w:bottom w:w="0" w:type="dxa"/>
            </w:tcMar>
          </w:tcPr>
          <w:p>
            <w:pPr>
              <w:pStyle w:val="Normal"/>
              <w:numPr>
                <w:ilvl w:val="0"/>
                <w:numId w:val="0"/>
              </w:numPr>
              <w:bidi w:val="0"/>
              <w:spacing w:lineRule="auto" w:line="264" w:before="0" w:after="0"/>
              <w:ind w:hanging="0" w:start="0" w:end="0"/>
              <w:jc w:val="both"/>
              <w:outlineLvl w:val="1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  <w:lang w:eastAsia="ru-RU"/>
              </w:rPr>
            </w:r>
          </w:p>
          <w:p>
            <w:pPr>
              <w:pStyle w:val="Normal"/>
              <w:numPr>
                <w:ilvl w:val="0"/>
                <w:numId w:val="0"/>
              </w:numPr>
              <w:bidi w:val="0"/>
              <w:spacing w:lineRule="auto" w:line="264" w:before="0" w:after="0"/>
              <w:ind w:hanging="0" w:start="0" w:end="0"/>
              <w:jc w:val="both"/>
              <w:outlineLvl w:val="1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  <w:lang w:eastAsia="ru-RU"/>
              </w:rPr>
            </w:r>
          </w:p>
          <w:p>
            <w:pPr>
              <w:pStyle w:val="Normal"/>
              <w:numPr>
                <w:ilvl w:val="0"/>
                <w:numId w:val="0"/>
              </w:numPr>
              <w:bidi w:val="0"/>
              <w:spacing w:lineRule="auto" w:line="264" w:before="0" w:after="0"/>
              <w:ind w:hanging="0" w:start="0" w:end="0"/>
              <w:jc w:val="both"/>
              <w:outlineLvl w:val="1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  <w:lang w:eastAsia="ru-RU"/>
              </w:rPr>
            </w:r>
          </w:p>
        </w:tc>
      </w:tr>
      <w:tr>
        <w:trPr/>
        <w:tc>
          <w:tcPr>
            <w:tcW w:w="7560" w:type="dxa"/>
            <w:tcBorders/>
            <w:tcMar>
              <w:top w:w="0" w:type="dxa"/>
              <w:bottom w:w="0" w:type="dxa"/>
            </w:tcMar>
          </w:tcPr>
          <w:p>
            <w:pPr>
              <w:pStyle w:val="Normal"/>
              <w:numPr>
                <w:ilvl w:val="0"/>
                <w:numId w:val="0"/>
              </w:numPr>
              <w:bidi w:val="0"/>
              <w:spacing w:lineRule="auto" w:line="264" w:before="0" w:after="0"/>
              <w:ind w:hanging="0" w:start="0" w:end="0"/>
              <w:jc w:val="both"/>
              <w:outlineLvl w:val="1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  <w:lang w:eastAsia="ru-RU"/>
              </w:rPr>
            </w:r>
          </w:p>
          <w:p>
            <w:pPr>
              <w:pStyle w:val="Normal"/>
              <w:numPr>
                <w:ilvl w:val="0"/>
                <w:numId w:val="0"/>
              </w:numPr>
              <w:bidi w:val="0"/>
              <w:spacing w:lineRule="auto" w:line="264" w:before="0" w:after="0"/>
              <w:ind w:hanging="0" w:start="0" w:end="0"/>
              <w:jc w:val="both"/>
              <w:outlineLvl w:val="1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  <w:lang w:eastAsia="ru-RU"/>
              </w:rPr>
            </w:r>
          </w:p>
          <w:p>
            <w:pPr>
              <w:pStyle w:val="Normal"/>
              <w:numPr>
                <w:ilvl w:val="0"/>
                <w:numId w:val="0"/>
              </w:numPr>
              <w:bidi w:val="0"/>
              <w:spacing w:lineRule="auto" w:line="264" w:before="0" w:after="0"/>
              <w:ind w:hanging="0" w:start="0" w:end="0"/>
              <w:jc w:val="both"/>
              <w:outlineLvl w:val="1"/>
              <w:rPr/>
            </w:pPr>
            <w:r>
              <w:rPr>
                <w:rFonts w:cs="Arial" w:ascii="Arial" w:hAnsi="Arial"/>
                <w:color w:val="000000"/>
                <w:sz w:val="20"/>
                <w:szCs w:val="20"/>
                <w:lang w:eastAsia="ru-RU"/>
              </w:rPr>
              <w:t>Приглашенные:</w:t>
            </w:r>
          </w:p>
        </w:tc>
        <w:tc>
          <w:tcPr>
            <w:tcW w:w="2345" w:type="dxa"/>
            <w:tcBorders/>
            <w:tcMar>
              <w:top w:w="0" w:type="dxa"/>
              <w:bottom w:w="0" w:type="dxa"/>
            </w:tcMar>
          </w:tcPr>
          <w:p>
            <w:pPr>
              <w:pStyle w:val="Normal"/>
              <w:numPr>
                <w:ilvl w:val="0"/>
                <w:numId w:val="0"/>
              </w:numPr>
              <w:bidi w:val="0"/>
              <w:spacing w:lineRule="auto" w:line="264" w:before="0" w:after="0"/>
              <w:ind w:hanging="0" w:start="0" w:end="0"/>
              <w:jc w:val="both"/>
              <w:outlineLvl w:val="1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  <w:lang w:eastAsia="ru-RU"/>
              </w:rPr>
            </w:r>
          </w:p>
        </w:tc>
      </w:tr>
      <w:tr>
        <w:trPr/>
        <w:tc>
          <w:tcPr>
            <w:tcW w:w="7560" w:type="dxa"/>
            <w:tcBorders/>
            <w:tcMar>
              <w:top w:w="0" w:type="dxa"/>
              <w:bottom w:w="0" w:type="dxa"/>
            </w:tcMar>
          </w:tcPr>
          <w:p>
            <w:pPr>
              <w:pStyle w:val="Normal"/>
              <w:numPr>
                <w:ilvl w:val="0"/>
                <w:numId w:val="0"/>
              </w:numPr>
              <w:bidi w:val="0"/>
              <w:spacing w:lineRule="auto" w:line="264" w:before="0" w:after="0"/>
              <w:ind w:hanging="0" w:start="0" w:end="0"/>
              <w:jc w:val="both"/>
              <w:outlineLvl w:val="1"/>
              <w:rPr>
                <w:rFonts w:ascii="Arial" w:hAnsi="Arial" w:cs="Arial"/>
                <w:sz w:val="20"/>
                <w:szCs w:val="20"/>
                <w:lang w:eastAsia="ru-RU"/>
              </w:rPr>
            </w:pPr>
            <w:r>
              <w:rPr>
                <w:rFonts w:cs="Arial" w:ascii="Arial" w:hAnsi="Arial"/>
                <w:sz w:val="20"/>
                <w:szCs w:val="20"/>
                <w:lang w:eastAsia="ru-RU"/>
              </w:rPr>
            </w:r>
          </w:p>
          <w:p>
            <w:pPr>
              <w:pStyle w:val="Normal"/>
              <w:numPr>
                <w:ilvl w:val="0"/>
                <w:numId w:val="0"/>
              </w:numPr>
              <w:bidi w:val="0"/>
              <w:spacing w:lineRule="auto" w:line="264" w:before="0" w:after="0"/>
              <w:ind w:hanging="0" w:start="0" w:end="0"/>
              <w:jc w:val="both"/>
              <w:outlineLvl w:val="1"/>
              <w:rPr>
                <w:rFonts w:ascii="Arial" w:hAnsi="Arial" w:cs="Arial"/>
                <w:sz w:val="20"/>
                <w:szCs w:val="20"/>
                <w:lang w:eastAsia="ru-RU"/>
              </w:rPr>
            </w:pPr>
            <w:r>
              <w:rPr>
                <w:rFonts w:cs="Arial" w:ascii="Arial" w:hAnsi="Arial"/>
                <w:sz w:val="20"/>
                <w:szCs w:val="20"/>
                <w:lang w:eastAsia="ru-RU"/>
              </w:rPr>
              <w:t>Аксенов Николай Владимирович,</w:t>
            </w:r>
          </w:p>
          <w:p>
            <w:pPr>
              <w:pStyle w:val="Normal"/>
              <w:numPr>
                <w:ilvl w:val="0"/>
                <w:numId w:val="0"/>
              </w:numPr>
              <w:bidi w:val="0"/>
              <w:spacing w:lineRule="auto" w:line="264" w:before="0" w:after="0"/>
              <w:ind w:hanging="0" w:start="0" w:end="0"/>
              <w:jc w:val="both"/>
              <w:outlineLvl w:val="1"/>
              <w:rPr/>
            </w:pPr>
            <w:r>
              <w:rPr>
                <w:rFonts w:cs="Arial" w:ascii="Arial" w:hAnsi="Arial"/>
                <w:sz w:val="20"/>
                <w:szCs w:val="20"/>
                <w:lang w:eastAsia="ru-RU"/>
              </w:rPr>
              <w:t>начальник производственно-технического отдела ООО</w:t>
            </w:r>
            <w:r>
              <w:rPr>
                <w:rFonts w:cs="Arial" w:ascii="Arial" w:hAnsi="Arial"/>
                <w:bCs/>
                <w:sz w:val="20"/>
                <w:szCs w:val="20"/>
                <w:lang w:eastAsia="ru-RU"/>
              </w:rPr>
              <w:t> </w:t>
            </w:r>
            <w:r>
              <w:rPr>
                <w:rFonts w:cs="Arial" w:ascii="Arial" w:hAnsi="Arial"/>
                <w:sz w:val="20"/>
                <w:szCs w:val="20"/>
                <w:lang w:eastAsia="ru-RU"/>
              </w:rPr>
              <w:t>«ТатАИСЭнерго»</w:t>
            </w:r>
          </w:p>
        </w:tc>
        <w:tc>
          <w:tcPr>
            <w:tcW w:w="2345" w:type="dxa"/>
            <w:tcBorders/>
            <w:tcMar>
              <w:top w:w="0" w:type="dxa"/>
              <w:bottom w:w="0" w:type="dxa"/>
            </w:tcMar>
          </w:tcPr>
          <w:p>
            <w:pPr>
              <w:pStyle w:val="Normal"/>
              <w:numPr>
                <w:ilvl w:val="0"/>
                <w:numId w:val="0"/>
              </w:numPr>
              <w:bidi w:val="0"/>
              <w:spacing w:lineRule="auto" w:line="264" w:before="0" w:after="0"/>
              <w:ind w:hanging="0" w:start="0" w:end="0"/>
              <w:jc w:val="both"/>
              <w:outlineLvl w:val="1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  <w:lang w:eastAsia="ru-RU"/>
              </w:rPr>
            </w:r>
          </w:p>
          <w:p>
            <w:pPr>
              <w:pStyle w:val="Normal"/>
              <w:numPr>
                <w:ilvl w:val="0"/>
                <w:numId w:val="0"/>
              </w:numPr>
              <w:bidi w:val="0"/>
              <w:spacing w:lineRule="auto" w:line="264" w:before="0" w:after="0"/>
              <w:ind w:hanging="0" w:start="0" w:end="0"/>
              <w:jc w:val="both"/>
              <w:outlineLvl w:val="1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  <w:lang w:eastAsia="ru-RU"/>
              </w:rPr>
            </w:r>
          </w:p>
          <w:p>
            <w:pPr>
              <w:pStyle w:val="Normal"/>
              <w:numPr>
                <w:ilvl w:val="0"/>
                <w:numId w:val="0"/>
              </w:numPr>
              <w:bidi w:val="0"/>
              <w:spacing w:lineRule="auto" w:line="264" w:before="0" w:after="0"/>
              <w:ind w:hanging="0" w:start="0" w:end="0"/>
              <w:jc w:val="both"/>
              <w:outlineLvl w:val="1"/>
              <w:rPr/>
            </w:pPr>
            <w:r>
              <w:rPr>
                <w:rFonts w:cs="Arial" w:ascii="Arial" w:hAnsi="Arial"/>
                <w:color w:val="000000"/>
                <w:sz w:val="20"/>
                <w:szCs w:val="20"/>
                <w:lang w:eastAsia="ru-RU"/>
              </w:rPr>
              <w:t>________________</w:t>
            </w:r>
          </w:p>
        </w:tc>
      </w:tr>
    </w:tbl>
    <w:p>
      <w:pPr>
        <w:pStyle w:val="ListParagraph"/>
        <w:numPr>
          <w:ilvl w:val="0"/>
          <w:numId w:val="0"/>
        </w:numPr>
        <w:bidi w:val="0"/>
        <w:spacing w:lineRule="auto" w:line="240" w:before="0" w:after="0"/>
        <w:ind w:hanging="0" w:start="0" w:end="0"/>
        <w:contextualSpacing/>
        <w:outlineLvl w:val="1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sectPr>
      <w:footerReference w:type="even" r:id="rId2"/>
      <w:footerReference w:type="default" r:id="rId3"/>
      <w:footerReference w:type="first" r:id="rId4"/>
      <w:type w:val="nextPage"/>
      <w:pgSz w:w="11906" w:h="16838"/>
      <w:pgMar w:left="1134" w:right="850" w:gutter="0" w:header="0" w:top="993" w:footer="373" w:bottom="43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Tahoma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widowControl/>
      <w:bidi w:val="0"/>
      <w:spacing w:lineRule="auto" w:line="240" w:before="0" w:after="0"/>
      <w:ind w:hanging="0" w:start="0" w:end="0"/>
      <w:jc w:val="start"/>
      <w:textAlignment w:val="auto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spacing w:lineRule="auto" w:line="240" w:before="0" w:after="0"/>
      <w:jc w:val="end"/>
      <w:rPr>
        <w:rFonts w:ascii="Arial" w:hAnsi="Arial" w:cs="Arial"/>
        <w:sz w:val="16"/>
        <w:szCs w:val="16"/>
      </w:rPr>
    </w:pPr>
    <w:r>
      <w:rPr>
        <w:rFonts w:cs="Arial" w:ascii="Arial" w:hAnsi="Arial"/>
        <w:sz w:val="16"/>
        <w:szCs w:val="16"/>
        <w:lang w:val="en-US"/>
      </w:rPr>
      <w:fldChar w:fldCharType="begin"/>
    </w:r>
    <w:r>
      <w:rPr>
        <w:sz w:val="16"/>
        <w:szCs w:val="16"/>
        <w:rFonts w:cs="Arial" w:ascii="Arial" w:hAnsi="Arial"/>
        <w:lang w:val="en-US"/>
      </w:rPr>
      <w:instrText xml:space="preserve"> PAGE </w:instrText>
    </w:r>
    <w:r>
      <w:rPr>
        <w:sz w:val="16"/>
        <w:szCs w:val="16"/>
        <w:rFonts w:cs="Arial" w:ascii="Arial" w:hAnsi="Arial"/>
        <w:lang w:val="en-US"/>
      </w:rPr>
      <w:fldChar w:fldCharType="separate"/>
    </w:r>
    <w:r>
      <w:rPr>
        <w:sz w:val="16"/>
        <w:szCs w:val="16"/>
        <w:rFonts w:cs="Arial" w:ascii="Arial" w:hAnsi="Arial"/>
        <w:lang w:val="en-US"/>
      </w:rPr>
      <w:t>5</w:t>
    </w:r>
    <w:r>
      <w:rPr>
        <w:sz w:val="16"/>
        <w:szCs w:val="16"/>
        <w:rFonts w:cs="Arial" w:ascii="Arial" w:hAnsi="Arial"/>
        <w:lang w:val="en-US"/>
      </w:rPr>
      <w:fldChar w:fldCharType="end"/>
    </w:r>
  </w:p>
  <w:p>
    <w:pPr>
      <w:pStyle w:val="Footer"/>
      <w:bidi w:val="0"/>
      <w:spacing w:lineRule="auto" w:line="240" w:before="0" w:after="0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spacing w:lineRule="auto" w:line="240" w:before="0" w:after="0"/>
      <w:jc w:val="end"/>
      <w:rPr>
        <w:rFonts w:ascii="Arial" w:hAnsi="Arial" w:cs="Arial"/>
        <w:sz w:val="16"/>
        <w:szCs w:val="16"/>
      </w:rPr>
    </w:pPr>
    <w:r>
      <w:rPr>
        <w:rFonts w:cs="Arial" w:ascii="Arial" w:hAnsi="Arial"/>
        <w:sz w:val="16"/>
        <w:szCs w:val="16"/>
        <w:lang w:val="en-US"/>
      </w:rPr>
      <w:fldChar w:fldCharType="begin"/>
    </w:r>
    <w:r>
      <w:rPr>
        <w:sz w:val="16"/>
        <w:szCs w:val="16"/>
        <w:rFonts w:cs="Arial" w:ascii="Arial" w:hAnsi="Arial"/>
        <w:lang w:val="en-US"/>
      </w:rPr>
      <w:instrText xml:space="preserve"> PAGE </w:instrText>
    </w:r>
    <w:r>
      <w:rPr>
        <w:sz w:val="16"/>
        <w:szCs w:val="16"/>
        <w:rFonts w:cs="Arial" w:ascii="Arial" w:hAnsi="Arial"/>
        <w:lang w:val="en-US"/>
      </w:rPr>
      <w:fldChar w:fldCharType="separate"/>
    </w:r>
    <w:r>
      <w:rPr>
        <w:sz w:val="16"/>
        <w:szCs w:val="16"/>
        <w:rFonts w:cs="Arial" w:ascii="Arial" w:hAnsi="Arial"/>
        <w:lang w:val="en-US"/>
      </w:rPr>
      <w:t>5</w:t>
    </w:r>
    <w:r>
      <w:rPr>
        <w:sz w:val="16"/>
        <w:szCs w:val="16"/>
        <w:rFonts w:cs="Arial" w:ascii="Arial" w:hAnsi="Arial"/>
        <w:lang w:val="en-US"/>
      </w:rPr>
      <w:fldChar w:fldCharType="end"/>
    </w:r>
  </w:p>
  <w:p>
    <w:pPr>
      <w:pStyle w:val="Footer"/>
      <w:bidi w:val="0"/>
      <w:spacing w:lineRule="auto" w:line="240" w:before="0" w:after="0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rFonts w:cs="Times New Roman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>
        <w:rFonts w:cs="Times New Roman"/>
      </w:rPr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>
        <w:rFonts w:cs="Times New Roman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>
        <w:rFonts w:cs="Times New Roman"/>
      </w:r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>
        <w:rFonts w:cs="Times New Roman"/>
      </w:rPr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>
        <w:rFonts w:cs="Times New Roman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>
        <w:rFonts w:cs="Times New Roman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>
        <w:rFonts w:cs="Times New Roman"/>
      </w:rPr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>
        <w:rFonts w:cs="Times New Roman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rFonts w:cs="Times New Roman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>
        <w:rFonts w:cs="Times New Roman"/>
      </w:rPr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>
        <w:rFonts w:cs="Times New Roman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>
        <w:rFonts w:cs="Times New Roman"/>
      </w:r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>
        <w:rFonts w:cs="Times New Roman"/>
      </w:rPr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>
        <w:rFonts w:cs="Times New Roman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>
        <w:rFonts w:cs="Times New Roman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>
        <w:rFonts w:cs="Times New Roman"/>
      </w:rPr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>
        <w:rFonts w:cs="Times New Roman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20"/>
  <w:defaultTabStop w:val="708"/>
  <w:autoHyphenation w:val="true"/>
  <w:hyphenationZone w:val="36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200"/>
      <w:jc w:val="start"/>
      <w:textAlignment w:val="auto"/>
    </w:pPr>
    <w:rPr>
      <w:rFonts w:ascii="Calibri" w:hAnsi="Calibri" w:eastAsia="Courier New" w:cs="Times New Roman"/>
      <w:color w:val="auto"/>
      <w:kern w:val="2"/>
      <w:sz w:val="22"/>
      <w:szCs w:val="22"/>
      <w:lang w:val="ru-RU" w:eastAsia="en-US" w:bidi="ar-SA"/>
    </w:rPr>
  </w:style>
  <w:style w:type="paragraph" w:styleId="Heading1">
    <w:name w:val="heading 1"/>
    <w:basedOn w:val="Normal"/>
    <w:qFormat/>
    <w:pPr>
      <w:widowControl/>
      <w:spacing w:lineRule="auto" w:line="288" w:before="0" w:afterAutospacing="1"/>
      <w:ind w:hanging="0" w:start="0" w:end="0"/>
      <w:jc w:val="start"/>
      <w:textAlignment w:val="auto"/>
      <w:outlineLvl w:val="0"/>
    </w:pPr>
    <w:rPr>
      <w:rFonts w:ascii="Arial" w:hAnsi="Arial" w:cs="Arial"/>
      <w:color w:val="333333"/>
      <w:kern w:val="2"/>
      <w:sz w:val="36"/>
      <w:szCs w:val="36"/>
      <w:lang w:val="ru-RU" w:eastAsia="ru-RU" w:bidi="ar-SA"/>
    </w:rPr>
  </w:style>
  <w:style w:type="paragraph" w:styleId="Heading2">
    <w:name w:val="heading 2"/>
    <w:basedOn w:val="Normal"/>
    <w:qFormat/>
    <w:pPr>
      <w:widowControl/>
      <w:spacing w:lineRule="auto" w:line="264" w:beforeAutospacing="1" w:after="65"/>
      <w:ind w:hanging="0" w:start="0" w:end="0"/>
      <w:jc w:val="start"/>
      <w:textAlignment w:val="auto"/>
      <w:outlineLvl w:val="1"/>
    </w:pPr>
    <w:rPr>
      <w:rFonts w:ascii="Arial" w:hAnsi="Arial" w:cs="Arial"/>
      <w:b/>
      <w:bCs/>
      <w:color w:val="333333"/>
      <w:sz w:val="30"/>
      <w:szCs w:val="30"/>
      <w:lang w:val="ru-RU" w:eastAsia="ru-RU" w:bidi="ar-SA"/>
    </w:rPr>
  </w:style>
  <w:style w:type="paragraph" w:styleId="Heading3">
    <w:name w:val="heading 3"/>
    <w:basedOn w:val="Normal"/>
    <w:qFormat/>
    <w:pPr>
      <w:widowControl/>
      <w:spacing w:lineRule="auto" w:line="240" w:beforeAutospacing="1" w:afterAutospacing="1"/>
      <w:ind w:hanging="0" w:start="0" w:end="0"/>
      <w:jc w:val="start"/>
      <w:textAlignment w:val="auto"/>
      <w:outlineLvl w:val="2"/>
    </w:pPr>
    <w:rPr>
      <w:rFonts w:ascii="Arial" w:hAnsi="Arial" w:cs="Arial"/>
      <w:b/>
      <w:bCs/>
      <w:color w:val="333333"/>
      <w:sz w:val="28"/>
      <w:szCs w:val="28"/>
      <w:lang w:val="ru-RU" w:eastAsia="ru-RU" w:bidi="ar-SA"/>
    </w:rPr>
  </w:style>
  <w:style w:type="character" w:styleId="DefaultParagraphFont">
    <w:name w:val="Default Paragraph Font"/>
    <w:qFormat/>
    <w:rPr/>
  </w:style>
  <w:style w:type="character" w:styleId="1">
    <w:name w:val="Заголовок 1 Знак"/>
    <w:basedOn w:val="DefaultParagraphFont"/>
    <w:qFormat/>
    <w:rPr>
      <w:rFonts w:ascii="Arial" w:hAnsi="Arial" w:cs="Arial"/>
      <w:color w:val="333333"/>
      <w:kern w:val="2"/>
      <w:sz w:val="36"/>
      <w:szCs w:val="36"/>
      <w:lang w:val="en-US" w:eastAsia="ru-RU"/>
    </w:rPr>
  </w:style>
  <w:style w:type="character" w:styleId="2">
    <w:name w:val="Заголовок 2 Знак"/>
    <w:basedOn w:val="DefaultParagraphFont"/>
    <w:qFormat/>
    <w:rPr>
      <w:rFonts w:ascii="Arial" w:hAnsi="Arial" w:cs="Arial"/>
      <w:b/>
      <w:bCs/>
      <w:color w:val="333333"/>
      <w:sz w:val="30"/>
      <w:szCs w:val="30"/>
      <w:lang w:val="en-US" w:eastAsia="ru-RU"/>
    </w:rPr>
  </w:style>
  <w:style w:type="character" w:styleId="3">
    <w:name w:val="Заголовок 3 Знак"/>
    <w:basedOn w:val="DefaultParagraphFont"/>
    <w:qFormat/>
    <w:rPr>
      <w:rFonts w:ascii="Arial" w:hAnsi="Arial" w:cs="Arial"/>
      <w:b/>
      <w:bCs/>
      <w:color w:val="333333"/>
      <w:sz w:val="28"/>
      <w:szCs w:val="28"/>
      <w:lang w:val="en-US" w:eastAsia="ru-RU"/>
    </w:rPr>
  </w:style>
  <w:style w:type="character" w:styleId="Style11">
    <w:name w:val="Текст выноски Знак"/>
    <w:basedOn w:val="DefaultParagraphFont"/>
    <w:qFormat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Pr>
      <w:rFonts w:cs="Times New Roman"/>
      <w:color w:val="4E76B2"/>
      <w:u w:val="none"/>
      <w:effect w:val="none"/>
    </w:rPr>
  </w:style>
  <w:style w:type="character" w:styleId="Style12">
    <w:name w:val="Основной текст_"/>
    <w:basedOn w:val="DefaultParagraphFont"/>
    <w:qFormat/>
    <w:rPr>
      <w:rFonts w:ascii="Arial" w:hAnsi="Arial" w:cs="Arial"/>
      <w:sz w:val="17"/>
      <w:szCs w:val="17"/>
      <w:shd w:fill="FFFFFF" w:val="clear"/>
    </w:rPr>
  </w:style>
  <w:style w:type="character" w:styleId="Style13">
    <w:name w:val="Верхний колонтитул Знак"/>
    <w:basedOn w:val="DefaultParagraphFont"/>
    <w:qFormat/>
    <w:rPr>
      <w:rFonts w:cs="Times New Roman"/>
    </w:rPr>
  </w:style>
  <w:style w:type="character" w:styleId="Style14">
    <w:name w:val="Нижний колонтитул Знак"/>
    <w:basedOn w:val="DefaultParagraphFont"/>
    <w:qFormat/>
    <w:rPr>
      <w:rFonts w:cs="Times New Roman"/>
    </w:rPr>
  </w:style>
  <w:style w:type="character" w:styleId="Style15">
    <w:name w:val="Основной текст Знак"/>
    <w:basedOn w:val="DefaultParagraphFont"/>
    <w:qFormat/>
    <w:rPr>
      <w:rFonts w:ascii="Times New Roman" w:hAnsi="Times New Roman" w:eastAsia="Arial Unicode MS" w:cs="Times New Roman"/>
      <w:sz w:val="27"/>
      <w:szCs w:val="27"/>
      <w:shd w:fill="FFFFFF" w:val="clear"/>
      <w:lang w:val="en-US" w:eastAsia="ru-RU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widowControl/>
      <w:shd w:fill="FFFFFF"/>
      <w:spacing w:lineRule="exact" w:line="485" w:before="6360" w:after="0"/>
      <w:ind w:hanging="1140" w:start="0" w:end="0"/>
      <w:jc w:val="center"/>
      <w:textAlignment w:val="auto"/>
    </w:pPr>
    <w:rPr>
      <w:rFonts w:ascii="Times New Roman" w:hAnsi="Times New Roman" w:eastAsia="Arial Unicode MS" w:cs="Times New Roman"/>
      <w:sz w:val="27"/>
      <w:szCs w:val="27"/>
      <w:lang w:val="ru-RU" w:eastAsia="ru-RU" w:bidi="ar-SA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Table">
    <w:name w:val="Normal Table"/>
    <w:qFormat/>
    <w:pPr>
      <w:widowControl/>
      <w:bidi w:val="0"/>
      <w:spacing w:lineRule="auto" w:line="276" w:before="0" w:after="200"/>
      <w:jc w:val="start"/>
      <w:textAlignment w:val="auto"/>
    </w:pPr>
    <w:rPr>
      <w:rFonts w:ascii="Calibri" w:hAnsi="Calibri" w:eastAsia="Courier New" w:cs="Calibri"/>
      <w:color w:val="auto"/>
      <w:kern w:val="2"/>
      <w:sz w:val="22"/>
      <w:szCs w:val="22"/>
      <w:lang w:val="ru-RU" w:eastAsia="en-US" w:bidi="ar-SA"/>
    </w:rPr>
  </w:style>
  <w:style w:type="paragraph" w:styleId="NormalWeb">
    <w:name w:val="Normal (Web)"/>
    <w:basedOn w:val="Normal"/>
    <w:qFormat/>
    <w:pPr>
      <w:widowControl/>
      <w:spacing w:lineRule="auto" w:line="240" w:beforeAutospacing="1" w:afterAutospacing="1"/>
      <w:ind w:hanging="0" w:start="0" w:end="0"/>
      <w:jc w:val="start"/>
      <w:textAlignment w:val="auto"/>
    </w:pPr>
    <w:rPr>
      <w:rFonts w:cs="Times New Roman"/>
      <w:sz w:val="24"/>
      <w:szCs w:val="24"/>
      <w:lang w:val="ru-RU" w:eastAsia="ru-RU" w:bidi="ar-SA"/>
    </w:rPr>
  </w:style>
  <w:style w:type="paragraph" w:styleId="BalloonText">
    <w:name w:val="Balloon Text"/>
    <w:basedOn w:val="Normal"/>
    <w:qFormat/>
    <w:pPr>
      <w:widowControl/>
      <w:spacing w:lineRule="auto" w:line="240" w:before="0" w:after="0"/>
      <w:ind w:hanging="0" w:start="0" w:end="0"/>
      <w:jc w:val="start"/>
      <w:textAlignment w:val="auto"/>
    </w:pPr>
    <w:rPr>
      <w:rFonts w:ascii="Tahoma" w:hAnsi="Tahoma" w:cs="Tahoma"/>
      <w:sz w:val="16"/>
      <w:szCs w:val="16"/>
      <w:lang w:val="ru-RU" w:eastAsia="en-US" w:bidi="ar-SA"/>
    </w:rPr>
  </w:style>
  <w:style w:type="paragraph" w:styleId="5">
    <w:name w:val="Основной текст5"/>
    <w:basedOn w:val="Normal"/>
    <w:qFormat/>
    <w:pPr>
      <w:widowControl/>
      <w:shd w:fill="FFFFFF"/>
      <w:spacing w:lineRule="atLeast" w:line="240" w:before="0" w:after="0"/>
      <w:ind w:hanging="0" w:start="0" w:end="0"/>
      <w:jc w:val="start"/>
      <w:textAlignment w:val="auto"/>
    </w:pPr>
    <w:rPr>
      <w:rFonts w:ascii="Arial" w:hAnsi="Arial" w:cs="Arial"/>
      <w:sz w:val="17"/>
      <w:szCs w:val="17"/>
      <w:lang w:val="ru-RU" w:eastAsia="en-US" w:bidi="ar-SA"/>
    </w:rPr>
  </w:style>
  <w:style w:type="paragraph" w:styleId="TableGrid">
    <w:name w:val="Table Grid"/>
    <w:basedOn w:val="NormalTable"/>
    <w:qFormat/>
    <w:pPr>
      <w:widowControl/>
      <w:pBdr/>
      <w:spacing w:lineRule="auto" w:line="240" w:before="0" w:after="0"/>
      <w:ind w:hanging="0" w:start="0" w:end="0"/>
      <w:jc w:val="start"/>
      <w:textAlignment w:val="auto"/>
    </w:pPr>
    <w:rPr>
      <w:rFonts w:ascii="Calibri" w:hAnsi="Calibri" w:cs="Times New Roman"/>
      <w:sz w:val="22"/>
      <w:szCs w:val="22"/>
      <w:lang w:val="ru-RU" w:eastAsia="en-US" w:bidi="ar-SA"/>
    </w:rPr>
  </w:style>
  <w:style w:type="paragraph" w:styleId="ListParagraph">
    <w:name w:val="List Paragraph"/>
    <w:basedOn w:val="Normal"/>
    <w:qFormat/>
    <w:pPr>
      <w:widowControl/>
      <w:spacing w:lineRule="auto" w:line="276" w:before="0" w:after="200"/>
      <w:ind w:hanging="0" w:start="720" w:end="0"/>
      <w:contextualSpacing/>
      <w:jc w:val="start"/>
      <w:textAlignment w:val="auto"/>
    </w:pPr>
    <w:rPr>
      <w:rFonts w:ascii="Calibri" w:hAnsi="Calibri" w:cs="Times New Roman"/>
      <w:sz w:val="22"/>
      <w:szCs w:val="22"/>
      <w:lang w:val="ru-RU" w:eastAsia="en-US" w:bidi="ar-SA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pPr>
      <w:widowControl/>
      <w:tabs>
        <w:tab w:val="clear" w:pos="708"/>
        <w:tab w:val="center" w:pos="4677" w:leader="none"/>
        <w:tab w:val="right" w:pos="9355" w:leader="none"/>
      </w:tabs>
      <w:spacing w:lineRule="auto" w:line="240" w:before="0" w:after="0"/>
      <w:ind w:hanging="0" w:start="0" w:end="0"/>
      <w:jc w:val="start"/>
      <w:textAlignment w:val="auto"/>
    </w:pPr>
    <w:rPr>
      <w:rFonts w:ascii="Calibri" w:hAnsi="Calibri" w:cs="Times New Roman"/>
      <w:sz w:val="22"/>
      <w:szCs w:val="22"/>
      <w:lang w:val="ru-RU" w:eastAsia="en-US" w:bidi="ar-SA"/>
    </w:rPr>
  </w:style>
  <w:style w:type="paragraph" w:styleId="Footer">
    <w:name w:val="footer"/>
    <w:basedOn w:val="Normal"/>
    <w:pPr>
      <w:widowControl/>
      <w:tabs>
        <w:tab w:val="clear" w:pos="708"/>
        <w:tab w:val="center" w:pos="4677" w:leader="none"/>
        <w:tab w:val="right" w:pos="9355" w:leader="none"/>
      </w:tabs>
      <w:spacing w:lineRule="auto" w:line="240" w:before="0" w:after="0"/>
      <w:ind w:hanging="0" w:start="0" w:end="0"/>
      <w:jc w:val="start"/>
      <w:textAlignment w:val="auto"/>
    </w:pPr>
    <w:rPr>
      <w:rFonts w:ascii="Calibri" w:hAnsi="Calibri" w:cs="Times New Roman"/>
      <w:sz w:val="22"/>
      <w:szCs w:val="22"/>
      <w:lang w:val="ru-RU" w:eastAsia="en-US" w:bidi="ar-SA"/>
    </w:rPr>
  </w:style>
  <w:style w:type="paragraph" w:styleId="Default">
    <w:name w:val="Default"/>
    <w:qFormat/>
    <w:pPr>
      <w:widowControl/>
      <w:bidi w:val="0"/>
      <w:jc w:val="start"/>
      <w:textAlignment w:val="auto"/>
    </w:pPr>
    <w:rPr>
      <w:rFonts w:ascii="Times New Roman" w:hAnsi="Times New Roman" w:eastAsia="Courier New" w:cs="Times New Roman"/>
      <w:color w:val="000000"/>
      <w:kern w:val="2"/>
      <w:sz w:val="24"/>
      <w:szCs w:val="24"/>
      <w:lang w:val="ru-RU" w:eastAsia="en-US" w:bidi="ar-SA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LibreOffice/25.8.3.2$Linux_X86_64 LibreOffice_project/580$Build-2</Application>
  <AppVersion>15.0000</AppVersion>
  <Pages>99</Pages>
  <Words>2307</Words>
  <Characters>15431</Characters>
  <CharactersWithSpaces>13154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2025-03-03T08:32:00Z</dcterms:created>
  <dc:creator>VinokurovaAU</dc:creator>
  <dc:description/>
  <dc:language>en-US</dc:language>
  <cp:lastModifiedBy/>
  <cp:lastPrinted>2020-09-29T11:17:00Z</cp:lastPrinted>
  <dcterms:modified xsi:type="dcterms:W3CDTF">2025-03-03T08:46:00Z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Атнагулов Руслан Мелсович</vt:lpwstr>
  </property>
</Properties>
</file>