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567" w:leader="none"/>
        </w:tabs>
        <w:jc w:val="center"/>
        <w:rPr/>
      </w:pPr>
      <w:r>
        <w:rPr>
          <w:b/>
          <w:color w:val="000000"/>
        </w:rPr>
        <w:t xml:space="preserve">ПРОТОКОЛ № </w:t>
      </w:r>
      <w:r>
        <w:rPr>
          <w:b/>
          <w:bCs/>
          <w:color w:val="000000"/>
        </w:rPr>
        <w:t>32515404471</w:t>
      </w:r>
      <w:r>
        <w:rPr>
          <w:b/>
          <w:color w:val="000000"/>
        </w:rPr>
        <w:t>-01</w:t>
      </w:r>
    </w:p>
    <w:p>
      <w:pPr>
        <w:pStyle w:val="Normal"/>
        <w:spacing w:before="0" w:after="0"/>
        <w:contextualSpacing/>
        <w:jc w:val="center"/>
        <w:rPr>
          <w:lang w:bidi="ru-RU"/>
        </w:rPr>
      </w:pPr>
      <w:r>
        <w:rPr>
          <w:lang w:bidi="ru-RU"/>
        </w:rPr>
        <w:t>о признании запроса предложений несостоявшимся</w:t>
      </w:r>
    </w:p>
    <w:p>
      <w:pPr>
        <w:pStyle w:val="Normal"/>
        <w:jc w:val="end"/>
        <w:rPr/>
      </w:pPr>
      <w:r>
        <w:rPr/>
        <w:t>15.12.2025</w:t>
      </w:r>
    </w:p>
    <w:p>
      <w:pPr>
        <w:pStyle w:val="Normal"/>
        <w:jc w:val="end"/>
        <w:rPr/>
      </w:pPr>
      <w:r>
        <w:rPr/>
      </w:r>
    </w:p>
    <w:p>
      <w:pPr>
        <w:pStyle w:val="Normal"/>
        <w:jc w:val="both"/>
        <w:rPr/>
      </w:pPr>
      <w:r>
        <w:rPr>
          <w:iCs/>
          <w:sz w:val="19"/>
          <w:szCs w:val="19"/>
        </w:rPr>
        <w:t xml:space="preserve">Запрос предложений в электронной форме проводится в соответствии с </w:t>
      </w:r>
      <w:r>
        <w:rPr>
          <w:bCs/>
          <w:sz w:val="19"/>
          <w:szCs w:val="19"/>
          <w:lang w:bidi="ru-RU"/>
        </w:rPr>
        <w:t xml:space="preserve">ПОЛОЖЕНИЕМ </w:t>
      </w:r>
      <w:r>
        <w:rPr>
          <w:sz w:val="19"/>
          <w:szCs w:val="19"/>
        </w:rPr>
        <w:t xml:space="preserve">О ЗАКУПКЕ ТОВАРОВ, РАБОТ, УСЛУГ </w:t>
      </w:r>
      <w:r>
        <w:rPr>
          <w:b/>
          <w:bCs/>
          <w:sz w:val="19"/>
          <w:szCs w:val="19"/>
        </w:rPr>
        <w:t xml:space="preserve">для нужд Общества с ограниченной ответственностью «Жилищно-коммунальное хозяйство Абанского района» </w:t>
      </w:r>
      <w:r>
        <w:rPr>
          <w:sz w:val="19"/>
          <w:szCs w:val="19"/>
        </w:rPr>
        <w:t>(далее – Положение).</w:t>
      </w:r>
    </w:p>
    <w:p>
      <w:pPr>
        <w:pStyle w:val="Normal"/>
        <w:jc w:val="both"/>
        <w:rPr>
          <w:sz w:val="19"/>
          <w:szCs w:val="19"/>
        </w:rPr>
      </w:pPr>
      <w:r>
        <w:rPr>
          <w:spacing w:val="-2"/>
          <w:sz w:val="19"/>
          <w:szCs w:val="19"/>
        </w:rPr>
        <w:t xml:space="preserve">1. </w:t>
        <w:tab/>
        <w:t>Наименование, место нахождения Заказчика:</w:t>
      </w:r>
      <w:r>
        <w:rPr>
          <w:sz w:val="19"/>
          <w:szCs w:val="19"/>
        </w:rPr>
        <w:t xml:space="preserve"> Общество с ограниченной ответственностью «Жилищно-коммунальное хозяйство Абанского района» (ООО «ЖКХ Абанского района»); 663740, Россия, Красноярский край, Абанский район, п. Абан, пер. Коммунальный, здание 9. Контактное лицо: Осколков Н.А., +7 (913) 041-55-59, oskolkov1983@yandex.ru</w:t>
      </w:r>
    </w:p>
    <w:p>
      <w:pPr>
        <w:pStyle w:val="Normal"/>
        <w:jc w:val="both"/>
        <w:rPr>
          <w:sz w:val="19"/>
          <w:szCs w:val="19"/>
        </w:rPr>
      </w:pPr>
      <w:r>
        <w:rPr>
          <w:rFonts w:eastAsia="Calibri"/>
          <w:sz w:val="19"/>
          <w:szCs w:val="19"/>
        </w:rPr>
        <w:t xml:space="preserve">2. </w:t>
        <w:tab/>
        <w:t>Наименование, место нахождения Организатора: Общество с ограниченной ответственностью «ОТС-42» (ООО «ОТС-42»); 650000, г. Кемерово, ул. Кирова, строение 14, кабинет 202, 2 этаж.</w:t>
      </w:r>
    </w:p>
    <w:p>
      <w:pPr>
        <w:pStyle w:val="Normal"/>
        <w:jc w:val="both"/>
        <w:rPr/>
      </w:pPr>
      <w:r>
        <w:rPr>
          <w:spacing w:val="-2"/>
          <w:sz w:val="19"/>
          <w:szCs w:val="19"/>
        </w:rPr>
        <w:t xml:space="preserve">3. </w:t>
        <w:tab/>
        <w:t xml:space="preserve">Предмет договора: </w:t>
      </w:r>
      <w:r>
        <w:rPr>
          <w:sz w:val="19"/>
          <w:szCs w:val="19"/>
        </w:rPr>
        <w:t>Поставка бурого угля марки 2 БР.</w:t>
      </w:r>
    </w:p>
    <w:p>
      <w:pPr>
        <w:pStyle w:val="Normal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4. </w:t>
        <w:tab/>
        <w:t>Начальная (максимальная) цена договора: 11 142 720,00 (одиннадцать миллионов сто сорок две тысячи семьсот двадцать) рублей 00 копеек.</w:t>
      </w:r>
    </w:p>
    <w:p>
      <w:pPr>
        <w:pStyle w:val="Normal"/>
        <w:jc w:val="both"/>
        <w:rPr>
          <w:sz w:val="19"/>
          <w:szCs w:val="19"/>
        </w:rPr>
      </w:pPr>
      <w:r>
        <w:rPr>
          <w:sz w:val="19"/>
          <w:szCs w:val="19"/>
        </w:rPr>
        <w:t>5.</w:t>
        <w:tab/>
        <w:t>Количество товара / Объем работ, услуг: 12 720 т</w:t>
      </w:r>
    </w:p>
    <w:p>
      <w:pPr>
        <w:pStyle w:val="Normal"/>
        <w:jc w:val="both"/>
        <w:rPr/>
      </w:pPr>
      <w:r>
        <w:rPr>
          <w:sz w:val="19"/>
          <w:szCs w:val="19"/>
        </w:rPr>
        <w:t xml:space="preserve">6. </w:t>
        <w:tab/>
        <w:t>Срок исполнения договора: Январь 2027 г.</w:t>
      </w:r>
    </w:p>
    <w:p>
      <w:pPr>
        <w:pStyle w:val="Normal"/>
        <w:jc w:val="both"/>
        <w:rPr>
          <w:sz w:val="19"/>
          <w:szCs w:val="19"/>
        </w:rPr>
      </w:pPr>
      <w:r>
        <w:rPr>
          <w:sz w:val="19"/>
          <w:szCs w:val="19"/>
        </w:rPr>
        <w:t>7.</w:t>
        <w:tab/>
        <w:t>Сведения о сроке поставки товара: Общий срок (период) поставки – с 01.01.2026г. по 31.12.2026г. Поставка осуществляется в течение 3-х календарных дней с момента получения заявки от Покупателя.</w:t>
      </w:r>
    </w:p>
    <w:p>
      <w:pPr>
        <w:pStyle w:val="Normal"/>
        <w:jc w:val="both"/>
        <w:rPr>
          <w:iCs/>
          <w:color w:val="000000"/>
          <w:sz w:val="19"/>
          <w:szCs w:val="19"/>
        </w:rPr>
      </w:pPr>
      <w:r>
        <w:rPr>
          <w:sz w:val="19"/>
          <w:szCs w:val="19"/>
        </w:rPr>
        <w:t xml:space="preserve">8. </w:t>
        <w:tab/>
      </w:r>
      <w:r>
        <w:rPr>
          <w:iCs/>
          <w:color w:val="000000"/>
          <w:sz w:val="19"/>
          <w:szCs w:val="19"/>
        </w:rPr>
        <w:t xml:space="preserve">Извещение о проведении запроса предложений в электронной форме размещено 14.11.2025 на сайте по адресу в сети Интернет: </w:t>
      </w:r>
      <w:hyperlink r:id="rId2">
        <w:r>
          <w:rPr>
            <w:rStyle w:val="Hyperlink"/>
            <w:iCs/>
            <w:sz w:val="19"/>
            <w:szCs w:val="19"/>
          </w:rPr>
          <w:t>www.zakupki.gov.ru</w:t>
        </w:r>
      </w:hyperlink>
      <w:r>
        <w:rPr>
          <w:iCs/>
          <w:color w:val="000000"/>
          <w:sz w:val="19"/>
          <w:szCs w:val="19"/>
        </w:rPr>
        <w:t xml:space="preserve"> (Извещение № </w:t>
      </w:r>
      <w:r>
        <w:rPr>
          <w:color w:val="000000"/>
          <w:sz w:val="19"/>
          <w:szCs w:val="19"/>
        </w:rPr>
        <w:t>32515404471</w:t>
      </w:r>
      <w:r>
        <w:rPr>
          <w:iCs/>
          <w:color w:val="000000"/>
          <w:sz w:val="19"/>
          <w:szCs w:val="19"/>
        </w:rPr>
        <w:t xml:space="preserve">) и на электронной торговой площадке </w:t>
      </w:r>
      <w:hyperlink r:id="rId3">
        <w:r>
          <w:rPr>
            <w:rStyle w:val="Hyperlink"/>
            <w:sz w:val="19"/>
            <w:szCs w:val="19"/>
          </w:rPr>
          <w:t>https://torgi223.ru/</w:t>
        </w:r>
      </w:hyperlink>
      <w:r>
        <w:rPr>
          <w:sz w:val="19"/>
          <w:szCs w:val="19"/>
        </w:rPr>
        <w:t xml:space="preserve"> </w:t>
      </w:r>
      <w:r>
        <w:rPr>
          <w:iCs/>
          <w:color w:val="000000"/>
          <w:sz w:val="19"/>
          <w:szCs w:val="19"/>
        </w:rPr>
        <w:t xml:space="preserve">(Процедура № 33468).  </w:t>
      </w:r>
    </w:p>
    <w:p>
      <w:pPr>
        <w:pStyle w:val="Normal"/>
        <w:jc w:val="both"/>
        <w:rPr>
          <w:iCs/>
          <w:sz w:val="19"/>
          <w:szCs w:val="19"/>
        </w:rPr>
      </w:pPr>
      <w:r>
        <w:rPr>
          <w:bCs/>
          <w:sz w:val="19"/>
          <w:szCs w:val="19"/>
        </w:rPr>
        <w:t xml:space="preserve">9. </w:t>
      </w:r>
      <w:bookmarkStart w:id="0" w:name="OLE_LINK45"/>
      <w:r>
        <w:rPr>
          <w:bCs/>
          <w:sz w:val="19"/>
          <w:szCs w:val="19"/>
        </w:rPr>
        <w:tab/>
        <w:t xml:space="preserve">Заседание комиссии по </w:t>
      </w:r>
      <w:r>
        <w:rPr>
          <w:bCs/>
          <w:sz w:val="19"/>
          <w:szCs w:val="19"/>
          <w:lang w:bidi="ru-RU"/>
        </w:rPr>
        <w:t xml:space="preserve">результатам </w:t>
      </w:r>
      <w:bookmarkEnd w:id="0"/>
      <w:r>
        <w:rPr>
          <w:bCs/>
          <w:sz w:val="19"/>
          <w:szCs w:val="19"/>
          <w:lang w:bidi="ru-RU"/>
        </w:rPr>
        <w:t xml:space="preserve">рассмотрения заявок на участие в запросе </w:t>
      </w:r>
      <w:r>
        <w:rPr>
          <w:iCs/>
          <w:color w:val="000000"/>
          <w:sz w:val="19"/>
          <w:szCs w:val="19"/>
        </w:rPr>
        <w:t>предложений в электронной форме</w:t>
      </w:r>
      <w:r>
        <w:rPr>
          <w:bCs/>
          <w:sz w:val="19"/>
          <w:szCs w:val="19"/>
          <w:lang w:bidi="ru-RU"/>
        </w:rPr>
        <w:t xml:space="preserve"> </w:t>
      </w:r>
      <w:r>
        <w:rPr>
          <w:bCs/>
          <w:sz w:val="19"/>
          <w:szCs w:val="19"/>
        </w:rPr>
        <w:t>(далее по тексту – комиссия) проводится 15.12.2025 05:00 (время московское) по адресу:</w:t>
      </w:r>
      <w:r>
        <w:rPr>
          <w:sz w:val="19"/>
          <w:szCs w:val="19"/>
        </w:rPr>
        <w:t xml:space="preserve"> Красноярский край, Абанский район, п. Абан, пер. Коммунальный, здание 9.</w:t>
      </w:r>
    </w:p>
    <w:p>
      <w:pPr>
        <w:pStyle w:val="Normal"/>
        <w:jc w:val="both"/>
        <w:rPr>
          <w:iCs/>
          <w:sz w:val="19"/>
          <w:szCs w:val="19"/>
        </w:rPr>
      </w:pPr>
      <w:r>
        <w:rPr>
          <w:iCs/>
          <w:sz w:val="19"/>
          <w:szCs w:val="19"/>
        </w:rPr>
        <w:t xml:space="preserve">9.1. </w:t>
        <w:tab/>
        <w:t>Состав комиссии:</w:t>
      </w:r>
      <w:bookmarkStart w:id="1" w:name="OLE_LINK12"/>
      <w:bookmarkStart w:id="2" w:name="OLE_LINK11"/>
    </w:p>
    <w:p>
      <w:pPr>
        <w:pStyle w:val="Normal"/>
        <w:jc w:val="both"/>
        <w:rPr>
          <w:iCs/>
          <w:sz w:val="19"/>
          <w:szCs w:val="19"/>
        </w:rPr>
      </w:pPr>
      <w:r>
        <w:rPr>
          <w:iCs/>
          <w:sz w:val="19"/>
          <w:szCs w:val="19"/>
        </w:rPr>
        <w:t>Председатель комиссии Рысев Сергей Николаевич</w:t>
      </w:r>
    </w:p>
    <w:p>
      <w:pPr>
        <w:pStyle w:val="Normal"/>
        <w:jc w:val="both"/>
        <w:rPr/>
      </w:pPr>
      <w:r>
        <w:rPr>
          <w:iCs/>
          <w:sz w:val="19"/>
          <w:szCs w:val="19"/>
        </w:rPr>
        <w:t>Член комиссии Осколков Николай Александрович</w:t>
      </w:r>
    </w:p>
    <w:p>
      <w:pPr>
        <w:pStyle w:val="Normal"/>
        <w:jc w:val="both"/>
        <w:rPr>
          <w:iCs/>
          <w:sz w:val="19"/>
          <w:szCs w:val="19"/>
        </w:rPr>
      </w:pPr>
      <w:r>
        <w:rPr>
          <w:iCs/>
          <w:sz w:val="19"/>
          <w:szCs w:val="19"/>
        </w:rPr>
        <w:t>Член комиссии Меденцева Елена Николаевна</w:t>
      </w:r>
    </w:p>
    <w:p>
      <w:pPr>
        <w:pStyle w:val="Normal"/>
        <w:jc w:val="both"/>
        <w:rPr/>
      </w:pPr>
      <w:r>
        <w:rPr>
          <w:iCs/>
          <w:sz w:val="19"/>
          <w:szCs w:val="19"/>
        </w:rPr>
        <w:t>Член комиссии Сосновская Лариса Васильевна</w:t>
      </w:r>
    </w:p>
    <w:p>
      <w:pPr>
        <w:pStyle w:val="Normal"/>
        <w:jc w:val="both"/>
        <w:rPr>
          <w:iCs/>
          <w:sz w:val="19"/>
          <w:szCs w:val="19"/>
        </w:rPr>
      </w:pPr>
      <w:r>
        <w:rPr>
          <w:iCs/>
          <w:sz w:val="19"/>
          <w:szCs w:val="19"/>
        </w:rPr>
        <w:t>Член комиссии (секретарь) Большакова Виктория Викторовна</w:t>
      </w:r>
    </w:p>
    <w:p>
      <w:pPr>
        <w:pStyle w:val="Normal"/>
        <w:jc w:val="both"/>
        <w:rPr>
          <w:iCs/>
          <w:sz w:val="19"/>
          <w:szCs w:val="19"/>
        </w:rPr>
      </w:pPr>
      <w:bookmarkEnd w:id="1"/>
      <w:bookmarkEnd w:id="2"/>
      <w:r>
        <w:rPr>
          <w:iCs/>
          <w:sz w:val="19"/>
          <w:szCs w:val="19"/>
        </w:rPr>
        <w:t xml:space="preserve">9.2 </w:t>
        <w:tab/>
        <w:t>На процедуре комиссии присутствуют:</w:t>
      </w:r>
    </w:p>
    <w:p>
      <w:pPr>
        <w:pStyle w:val="Normal"/>
        <w:jc w:val="both"/>
        <w:rPr>
          <w:iCs/>
          <w:sz w:val="19"/>
          <w:szCs w:val="19"/>
        </w:rPr>
      </w:pPr>
      <w:r>
        <w:rPr>
          <w:iCs/>
          <w:sz w:val="19"/>
          <w:szCs w:val="19"/>
        </w:rPr>
        <w:t>Председатель комиссии Рысев Сергей Николаевич</w:t>
      </w:r>
    </w:p>
    <w:p>
      <w:pPr>
        <w:pStyle w:val="Normal"/>
        <w:jc w:val="both"/>
        <w:rPr/>
      </w:pPr>
      <w:r>
        <w:rPr>
          <w:iCs/>
          <w:sz w:val="19"/>
          <w:szCs w:val="19"/>
        </w:rPr>
        <w:t>Член комиссии Осколков Николай Александрович</w:t>
      </w:r>
    </w:p>
    <w:p>
      <w:pPr>
        <w:pStyle w:val="Normal"/>
        <w:jc w:val="both"/>
        <w:rPr>
          <w:iCs/>
          <w:sz w:val="19"/>
          <w:szCs w:val="19"/>
        </w:rPr>
      </w:pPr>
      <w:r>
        <w:rPr>
          <w:iCs/>
          <w:sz w:val="19"/>
          <w:szCs w:val="19"/>
        </w:rPr>
        <w:t>Член комиссии Меденцева Елена Николаевна</w:t>
      </w:r>
    </w:p>
    <w:p>
      <w:pPr>
        <w:pStyle w:val="Normal"/>
        <w:jc w:val="both"/>
        <w:rPr/>
      </w:pPr>
      <w:r>
        <w:rPr>
          <w:iCs/>
          <w:sz w:val="19"/>
          <w:szCs w:val="19"/>
        </w:rPr>
        <w:t>Член комиссии Сосновская Лариса Васильевна</w:t>
      </w:r>
    </w:p>
    <w:p>
      <w:pPr>
        <w:pStyle w:val="Normal"/>
        <w:jc w:val="both"/>
        <w:rPr>
          <w:iCs/>
          <w:sz w:val="19"/>
          <w:szCs w:val="19"/>
        </w:rPr>
      </w:pPr>
      <w:r>
        <w:rPr>
          <w:iCs/>
          <w:sz w:val="19"/>
          <w:szCs w:val="19"/>
        </w:rPr>
        <w:t>Член комиссии (секретарь) Большакова Виктория Викторовна</w:t>
      </w:r>
    </w:p>
    <w:p>
      <w:pPr>
        <w:pStyle w:val="Normal"/>
        <w:jc w:val="both"/>
        <w:rPr>
          <w:sz w:val="19"/>
          <w:szCs w:val="19"/>
        </w:rPr>
      </w:pPr>
      <w:r>
        <w:rPr>
          <w:sz w:val="19"/>
          <w:szCs w:val="19"/>
        </w:rPr>
        <w:t>Что составляет 100</w:t>
      </w:r>
      <w:r>
        <w:rPr>
          <w:sz w:val="19"/>
          <w:szCs w:val="19"/>
          <w:lang w:val="en-US"/>
        </w:rPr>
        <w:t xml:space="preserve"> </w:t>
      </w:r>
      <w:r>
        <w:rPr>
          <w:sz w:val="19"/>
          <w:szCs w:val="19"/>
        </w:rPr>
        <w:t>% членов комиссии. Кворум для принятия решений имеется.</w:t>
      </w:r>
    </w:p>
    <w:p>
      <w:pPr>
        <w:pStyle w:val="Normal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10. </w:t>
        <w:tab/>
        <w:t xml:space="preserve">На момент окончания срока подачи заявок на участие в запросе </w:t>
      </w:r>
      <w:r>
        <w:rPr>
          <w:iCs/>
          <w:color w:val="000000"/>
          <w:sz w:val="19"/>
          <w:szCs w:val="19"/>
        </w:rPr>
        <w:t xml:space="preserve">предложений </w:t>
      </w:r>
      <w:r>
        <w:rPr>
          <w:sz w:val="19"/>
          <w:szCs w:val="19"/>
        </w:rPr>
        <w:t>в электронной форме 12.12.2025 05:00 (время московское) не подано ни одной заявки.</w:t>
      </w:r>
    </w:p>
    <w:p>
      <w:pPr>
        <w:pStyle w:val="Normal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11. </w:t>
        <w:tab/>
        <w:t xml:space="preserve">В соответствии с п. а) ч. 3 ст. 12 Положения основание для признания конкурентной закупки несостоявшейся: </w:t>
      </w:r>
      <w:bookmarkStart w:id="3" w:name="_Hlk216437828"/>
      <w:r>
        <w:rPr>
          <w:sz w:val="19"/>
          <w:szCs w:val="19"/>
        </w:rPr>
        <w:t>на момент окончания подачи заявок на участие в закупке подана только одна заявка участника закупки или не подано ни одной заявки</w:t>
      </w:r>
      <w:bookmarkEnd w:id="3"/>
      <w:r>
        <w:rPr>
          <w:sz w:val="19"/>
          <w:szCs w:val="19"/>
        </w:rPr>
        <w:t>.</w:t>
      </w:r>
    </w:p>
    <w:p>
      <w:pPr>
        <w:pStyle w:val="Normal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11.1. </w:t>
        <w:tab/>
        <w:t>В соответствии с п. а) ч. 5 ст. 10 Положения: конкурентная закупка признана несостоявшейся в связи с тем, что не подано ни одной заявки на участие в закупке.</w:t>
      </w:r>
    </w:p>
    <w:p>
      <w:pPr>
        <w:pStyle w:val="Normal"/>
        <w:jc w:val="both"/>
        <w:rPr>
          <w:sz w:val="19"/>
          <w:szCs w:val="19"/>
        </w:rPr>
      </w:pPr>
      <w:r>
        <w:rPr>
          <w:iCs/>
          <w:color w:val="000000"/>
          <w:sz w:val="19"/>
          <w:szCs w:val="19"/>
        </w:rPr>
        <w:t xml:space="preserve">12. </w:t>
        <w:tab/>
        <w:t>В соответствии с п. 3) ч. 4 ст. 32 Положения, п. 3 ч. 4 ст. 3.1.4 Федерального закона № 223-ФЗ от 18.07.2011 предусмотренное п.п. «в» п. 1 ч. 2 ст. 3.1.4 ФЗ-223 преимущество в отношении товаров российского происхождения, в отношении заявки, содержащей предложение о поставке товаров (в том числе поставляемых при выполнении закупаемых работ, оказании закупаемых услуг) только российского происхождения соответственно не применяется, так как на момент окончания подачи заявок на участие в закупке не подано ни одной заявки.</w:t>
      </w:r>
    </w:p>
    <w:p>
      <w:pPr>
        <w:pStyle w:val="Normal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13. </w:t>
        <w:tab/>
        <w:t xml:space="preserve">Настоящий протокол подлежит размещению на сайте </w:t>
      </w:r>
      <w:hyperlink r:id="rId4">
        <w:r>
          <w:rPr>
            <w:rStyle w:val="Hyperlink"/>
            <w:sz w:val="19"/>
            <w:szCs w:val="19"/>
          </w:rPr>
          <w:t>www.zakupki.gov.ru</w:t>
        </w:r>
      </w:hyperlink>
      <w:r>
        <w:rPr>
          <w:sz w:val="19"/>
          <w:szCs w:val="19"/>
        </w:rPr>
        <w:t xml:space="preserve"> и на электронной торговой площадке </w:t>
      </w:r>
      <w:hyperlink r:id="rId5">
        <w:r>
          <w:rPr>
            <w:rStyle w:val="Hyperlink"/>
            <w:sz w:val="19"/>
            <w:szCs w:val="19"/>
          </w:rPr>
          <w:t>https://torgi223.ru/</w:t>
        </w:r>
      </w:hyperlink>
      <w:r>
        <w:rPr>
          <w:sz w:val="19"/>
          <w:szCs w:val="19"/>
        </w:rPr>
        <w:t>.</w:t>
      </w:r>
    </w:p>
    <w:p>
      <w:pPr>
        <w:pStyle w:val="Normal"/>
        <w:jc w:val="both"/>
        <w:rPr/>
      </w:pPr>
      <w:r>
        <w:rPr>
          <w:sz w:val="19"/>
          <w:szCs w:val="19"/>
        </w:rPr>
        <w:t xml:space="preserve">14. </w:t>
        <w:tab/>
        <w:t>Подписи ч</w:t>
      </w:r>
      <w:r>
        <w:rPr/>
        <w:t>ленов комиссии: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05"/>
        <w:gridCol w:w="3664"/>
        <w:gridCol w:w="2836"/>
      </w:tblGrid>
      <w:tr>
        <w:trPr>
          <w:trHeight w:val="343" w:hRule="atLeast"/>
        </w:trPr>
        <w:tc>
          <w:tcPr>
            <w:tcW w:w="3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Наименование роли в комиссии</w:t>
            </w:r>
          </w:p>
        </w:tc>
        <w:tc>
          <w:tcPr>
            <w:tcW w:w="36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ФИО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Подпись</w:t>
            </w:r>
          </w:p>
        </w:tc>
      </w:tr>
      <w:tr>
        <w:trPr>
          <w:trHeight w:val="302" w:hRule="atLeast"/>
        </w:trPr>
        <w:tc>
          <w:tcPr>
            <w:tcW w:w="3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iCs/>
              </w:rPr>
            </w:pPr>
            <w:r>
              <w:rPr>
                <w:iCs/>
                <w:sz w:val="19"/>
                <w:szCs w:val="19"/>
              </w:rPr>
              <w:t>Председатель комиссии</w:t>
            </w:r>
          </w:p>
        </w:tc>
        <w:tc>
          <w:tcPr>
            <w:tcW w:w="36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iCs/>
              </w:rPr>
            </w:pPr>
            <w:r>
              <w:rPr>
                <w:iCs/>
                <w:sz w:val="19"/>
                <w:szCs w:val="19"/>
              </w:rPr>
              <w:t>Рысев Сергей Николаевич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iCs/>
              </w:rPr>
            </w:pPr>
            <w:r>
              <w:rPr>
                <w:iCs/>
              </w:rPr>
            </w:r>
          </w:p>
        </w:tc>
      </w:tr>
      <w:tr>
        <w:trPr>
          <w:trHeight w:val="302" w:hRule="atLeast"/>
        </w:trPr>
        <w:tc>
          <w:tcPr>
            <w:tcW w:w="3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iCs/>
                <w:sz w:val="19"/>
                <w:szCs w:val="19"/>
              </w:rPr>
              <w:t>Член комиссии</w:t>
            </w:r>
          </w:p>
        </w:tc>
        <w:tc>
          <w:tcPr>
            <w:tcW w:w="36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iCs/>
                <w:sz w:val="19"/>
                <w:szCs w:val="19"/>
              </w:rPr>
              <w:t>Осколков Николай Александрович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trHeight w:val="302" w:hRule="atLeast"/>
        </w:trPr>
        <w:tc>
          <w:tcPr>
            <w:tcW w:w="3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iCs/>
                <w:sz w:val="19"/>
                <w:szCs w:val="19"/>
              </w:rPr>
              <w:t>Член комиссии</w:t>
            </w:r>
          </w:p>
        </w:tc>
        <w:tc>
          <w:tcPr>
            <w:tcW w:w="36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iCs/>
                <w:sz w:val="19"/>
                <w:szCs w:val="19"/>
              </w:rPr>
              <w:t>Меденцева Елена Николаевна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trHeight w:val="302" w:hRule="atLeast"/>
        </w:trPr>
        <w:tc>
          <w:tcPr>
            <w:tcW w:w="3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iCs/>
                <w:sz w:val="19"/>
                <w:szCs w:val="19"/>
              </w:rPr>
              <w:t>Член комиссии</w:t>
            </w:r>
          </w:p>
        </w:tc>
        <w:tc>
          <w:tcPr>
            <w:tcW w:w="36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iCs/>
                <w:sz w:val="19"/>
                <w:szCs w:val="19"/>
              </w:rPr>
              <w:t>Сосновская Лариса Васильевна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trHeight w:val="302" w:hRule="atLeast"/>
        </w:trPr>
        <w:tc>
          <w:tcPr>
            <w:tcW w:w="3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iCs/>
                <w:sz w:val="19"/>
                <w:szCs w:val="19"/>
              </w:rPr>
              <w:t>Член комиссии (секретарь)</w:t>
            </w:r>
          </w:p>
        </w:tc>
        <w:tc>
          <w:tcPr>
            <w:tcW w:w="36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iCs/>
                <w:sz w:val="19"/>
                <w:szCs w:val="19"/>
              </w:rPr>
              <w:t>Большакова Виктория Викторовна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</w:tbl>
    <w:p>
      <w:pPr>
        <w:pStyle w:val="Normal"/>
        <w:ind w:firstLine="567" w:end="0"/>
        <w:jc w:val="center"/>
        <w:rPr/>
      </w:pPr>
      <w:r>
        <w:rPr/>
      </w:r>
    </w:p>
    <w:tbl>
      <w:tblPr>
        <w:tblW w:w="2200" w:type="pct"/>
        <w:jc w:val="start"/>
        <w:tblInd w:w="535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90"/>
      </w:tblGrid>
      <w:tr>
        <w:trPr>
          <w:trHeight w:val="164" w:hRule="atLeast"/>
        </w:trPr>
        <w:tc>
          <w:tcPr>
            <w:tcW w:w="4490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bCs/>
              </w:rPr>
              <w:t xml:space="preserve">Утверждено (Заказчик): </w:t>
            </w:r>
            <w:r>
              <w:rPr/>
              <w:t>ООО «ЖКХ Абанского района»</w:t>
            </w:r>
          </w:p>
        </w:tc>
      </w:tr>
      <w:tr>
        <w:trPr>
          <w:trHeight w:val="164" w:hRule="atLeast"/>
        </w:trPr>
        <w:tc>
          <w:tcPr>
            <w:tcW w:w="4490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bCs/>
              </w:rPr>
              <w:t>Дата: 15.12.2025</w:t>
            </w:r>
          </w:p>
        </w:tc>
      </w:tr>
      <w:tr>
        <w:trPr>
          <w:trHeight w:val="228" w:hRule="atLeast"/>
        </w:trPr>
        <w:tc>
          <w:tcPr>
            <w:tcW w:w="4490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Должность: Директор</w:t>
            </w:r>
          </w:p>
        </w:tc>
      </w:tr>
      <w:tr>
        <w:trPr>
          <w:trHeight w:val="228" w:hRule="atLeast"/>
        </w:trPr>
        <w:tc>
          <w:tcPr>
            <w:tcW w:w="4490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Normal"/>
              <w:rPr>
                <w:bCs/>
                <w:w w:val="90"/>
              </w:rPr>
            </w:pPr>
            <w:r>
              <w:rPr/>
              <w:t>ФИО: О.С. Пронин</w:t>
            </w:r>
          </w:p>
        </w:tc>
      </w:tr>
      <w:tr>
        <w:trPr>
          <w:trHeight w:val="228" w:hRule="atLeast"/>
        </w:trPr>
        <w:tc>
          <w:tcPr>
            <w:tcW w:w="4490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 xml:space="preserve">Подпись </w:t>
            </w:r>
          </w:p>
        </w:tc>
      </w:tr>
    </w:tbl>
    <w:p>
      <w:pPr>
        <w:pStyle w:val="Normal"/>
        <w:shd w:fill="FFFFFF" w:val="clear"/>
        <w:ind w:firstLine="567" w:end="0"/>
        <w:jc w:val="center"/>
        <w:rPr/>
      </w:pPr>
      <w:r>
        <w:rPr/>
        <w:t xml:space="preserve">             </w:t>
      </w:r>
      <w:r>
        <w:rPr/>
        <w:t>М.П.</w:t>
      </w:r>
    </w:p>
    <w:sectPr>
      <w:footerReference w:type="default" r:id="rId6"/>
      <w:footerReference w:type="first" r:id="rId7"/>
      <w:type w:val="nextPage"/>
      <w:pgSz w:w="11906" w:h="16838"/>
      <w:pgMar w:left="1134" w:right="567" w:gutter="0" w:header="0" w:top="567" w:footer="720" w:bottom="776"/>
      <w:pgNumType w:fmt="decimal"/>
      <w:formProt w:val="false"/>
      <w:titlePg/>
      <w:textDirection w:val="lrTb"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cc" w:characterSet="windows-1251"/>
    <w:family w:val="modern"/>
    <w:pitch w:val="default"/>
  </w:font>
  <w:font w:name="Calibri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2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64135" cy="146685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135" cy="14668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2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05pt;height:11.55pt;mso-wrap-distance-left:0pt;mso-wrap-distance-right:0pt;mso-wrap-distance-top:0pt;mso-wrap-distance-bottom:0pt;margin-top:0.05pt;mso-position-vertical-relative:text;margin-left:505.2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2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hd w:fill="FFFFFF" w:val="clear"/>
      <w:spacing w:lineRule="exact" w:line="322" w:before="634" w:after="0"/>
      <w:ind w:hanging="0" w:start="3734" w:end="0"/>
      <w:outlineLvl w:val="0"/>
    </w:pPr>
    <w:rPr>
      <w:rFonts w:ascii="Cambria" w:hAnsi="Cambria" w:cs="Cambria"/>
      <w:b/>
      <w:bCs/>
      <w:kern w:val="2"/>
      <w:sz w:val="32"/>
      <w:szCs w:val="32"/>
      <w:lang w:val="en-US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hd w:fill="FFFFFF" w:val="clear"/>
      <w:spacing w:before="984" w:after="0"/>
      <w:ind w:hanging="0" w:start="1258" w:end="0"/>
      <w:outlineLvl w:val="1"/>
    </w:pPr>
    <w:rPr>
      <w:rFonts w:ascii="Cambria" w:hAnsi="Cambria" w:cs="Cambria"/>
      <w:b/>
      <w:bCs/>
      <w:i/>
      <w:iCs/>
      <w:sz w:val="28"/>
      <w:szCs w:val="28"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hd w:fill="FFFFFF" w:val="clear"/>
      <w:tabs>
        <w:tab w:val="clear" w:pos="720"/>
        <w:tab w:val="left" w:pos="1008" w:leader="none"/>
      </w:tabs>
      <w:spacing w:lineRule="exact" w:line="346" w:before="96" w:after="0"/>
      <w:ind w:firstLine="701" w:start="0" w:end="0"/>
      <w:jc w:val="both"/>
      <w:outlineLvl w:val="2"/>
    </w:pPr>
    <w:rPr>
      <w:rFonts w:ascii="Cambria" w:hAnsi="Cambria" w:cs="Cambria"/>
      <w:b/>
      <w:bCs/>
      <w:sz w:val="26"/>
      <w:szCs w:val="26"/>
      <w:lang w:val="en-US"/>
    </w:rPr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Style11">
    <w:name w:val="Основной шрифт абзаца"/>
    <w:qFormat/>
    <w:rPr/>
  </w:style>
  <w:style w:type="character" w:styleId="1">
    <w:name w:val="Заголовок 1 Знак"/>
    <w:qFormat/>
    <w:rPr>
      <w:rFonts w:ascii="Cambria" w:hAnsi="Cambria" w:cs="Times New Roman"/>
      <w:b/>
      <w:bCs/>
      <w:kern w:val="2"/>
      <w:sz w:val="32"/>
      <w:szCs w:val="32"/>
    </w:rPr>
  </w:style>
  <w:style w:type="character" w:styleId="2">
    <w:name w:val="Заголовок 2 Знак"/>
    <w:qFormat/>
    <w:rPr>
      <w:rFonts w:ascii="Cambria" w:hAnsi="Cambria" w:cs="Times New Roman"/>
      <w:b/>
      <w:bCs/>
      <w:i/>
      <w:iCs/>
      <w:sz w:val="28"/>
      <w:szCs w:val="28"/>
    </w:rPr>
  </w:style>
  <w:style w:type="character" w:styleId="3">
    <w:name w:val="Заголовок 3 Знак"/>
    <w:qFormat/>
    <w:rPr>
      <w:rFonts w:ascii="Cambria" w:hAnsi="Cambria" w:cs="Times New Roman"/>
      <w:b/>
      <w:bCs/>
      <w:sz w:val="26"/>
      <w:szCs w:val="26"/>
    </w:rPr>
  </w:style>
  <w:style w:type="character" w:styleId="Style12">
    <w:name w:val="Знак примечания"/>
    <w:qFormat/>
    <w:rPr>
      <w:sz w:val="16"/>
      <w:szCs w:val="16"/>
    </w:rPr>
  </w:style>
  <w:style w:type="character" w:styleId="Hyperlink">
    <w:name w:val="Hyperlink"/>
    <w:rPr>
      <w:rFonts w:cs="Times New Roman"/>
      <w:color w:val="0000FF"/>
      <w:u w:val="single"/>
    </w:rPr>
  </w:style>
  <w:style w:type="character" w:styleId="PageNumber">
    <w:name w:val="page number"/>
    <w:rPr>
      <w:rFonts w:cs="Times New Roman"/>
    </w:rPr>
  </w:style>
  <w:style w:type="character" w:styleId="Style13">
    <w:name w:val="Текст выноски Знак"/>
    <w:qFormat/>
    <w:rPr>
      <w:rFonts w:cs="Times New Roman"/>
      <w:sz w:val="2"/>
    </w:rPr>
  </w:style>
  <w:style w:type="character" w:styleId="21">
    <w:name w:val="Основной текст 2 Знак"/>
    <w:qFormat/>
    <w:rPr>
      <w:rFonts w:cs="Times New Roman"/>
    </w:rPr>
  </w:style>
  <w:style w:type="character" w:styleId="31">
    <w:name w:val="Основной текст с отступом 3 Знак"/>
    <w:qFormat/>
    <w:rPr>
      <w:sz w:val="16"/>
      <w:szCs w:val="16"/>
      <w:lang w:val="ru-RU" w:bidi="ar-SA"/>
    </w:rPr>
  </w:style>
  <w:style w:type="character" w:styleId="Style14">
    <w:name w:val="Текст примечания Знак"/>
    <w:qFormat/>
    <w:rPr/>
  </w:style>
  <w:style w:type="character" w:styleId="Style15">
    <w:name w:val="Тема примечания Знак"/>
    <w:qFormat/>
    <w:rPr>
      <w:b/>
      <w:bCs/>
    </w:rPr>
  </w:style>
  <w:style w:type="character" w:styleId="Style16">
    <w:name w:val="Верхний колонтитул Знак"/>
    <w:qFormat/>
    <w:rPr>
      <w:rFonts w:cs="Times New Roman"/>
    </w:rPr>
  </w:style>
  <w:style w:type="character" w:styleId="Style17">
    <w:name w:val="Основной текст Знак"/>
    <w:qFormat/>
    <w:rPr>
      <w:rFonts w:cs="Times New Roman"/>
    </w:rPr>
  </w:style>
  <w:style w:type="character" w:styleId="Style18">
    <w:name w:val="Нижний колонтитул Знак"/>
    <w:qFormat/>
    <w:rPr>
      <w:rFonts w:cs="Times New Roman"/>
    </w:rPr>
  </w:style>
  <w:style w:type="character" w:styleId="22">
    <w:name w:val="Основной текст с отступом 2 Знак"/>
    <w:qFormat/>
    <w:rPr>
      <w:rFonts w:cs="Times New Roman"/>
    </w:rPr>
  </w:style>
  <w:style w:type="character" w:styleId="Style19">
    <w:name w:val="Неразрешенное упоминание"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/>
      <w:autoSpaceDE w:val="true"/>
      <w:spacing w:lineRule="auto" w:line="360" w:before="0" w:after="120"/>
      <w:ind w:firstLine="567" w:start="0" w:end="0"/>
      <w:jc w:val="both"/>
    </w:pPr>
    <w:rPr>
      <w:lang w:val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20">
    <w:name w:val="Текст выноски"/>
    <w:basedOn w:val="Normal"/>
    <w:qFormat/>
    <w:pPr/>
    <w:rPr>
      <w:sz w:val="2"/>
      <w:lang w:val="en-US"/>
    </w:rPr>
  </w:style>
  <w:style w:type="paragraph" w:styleId="23">
    <w:name w:val="Основной текст 2"/>
    <w:basedOn w:val="Normal"/>
    <w:qFormat/>
    <w:pPr>
      <w:spacing w:lineRule="auto" w:line="480" w:before="0" w:after="120"/>
    </w:pPr>
    <w:rPr>
      <w:lang w:val="en-US"/>
    </w:rPr>
  </w:style>
  <w:style w:type="paragraph" w:styleId="32">
    <w:name w:val="Основной текст с отступом 3"/>
    <w:basedOn w:val="Normal"/>
    <w:qFormat/>
    <w:pPr>
      <w:widowControl/>
      <w:autoSpaceDE w:val="true"/>
      <w:spacing w:lineRule="auto" w:line="360" w:before="0" w:after="120"/>
      <w:ind w:firstLine="567" w:start="283" w:end="0"/>
      <w:jc w:val="both"/>
    </w:pPr>
    <w:rPr>
      <w:sz w:val="16"/>
      <w:szCs w:val="16"/>
    </w:rPr>
  </w:style>
  <w:style w:type="paragraph" w:styleId="Style21">
    <w:name w:val="Текст примечания"/>
    <w:basedOn w:val="Normal"/>
    <w:qFormat/>
    <w:pPr/>
    <w:rPr/>
  </w:style>
  <w:style w:type="paragraph" w:styleId="Style22">
    <w:name w:val="Тема примечания"/>
    <w:basedOn w:val="Style21"/>
    <w:next w:val="Style21"/>
    <w:qFormat/>
    <w:pPr/>
    <w:rPr>
      <w:b/>
      <w:bCs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77" w:leader="none"/>
        <w:tab w:val="right" w:pos="9355" w:leader="none"/>
      </w:tabs>
    </w:pPr>
    <w:rPr>
      <w:lang w:val="en-US"/>
    </w:rPr>
  </w:style>
  <w:style w:type="paragraph" w:styleId="Footer">
    <w:name w:val="footer"/>
    <w:basedOn w:val="Normal"/>
    <w:pPr>
      <w:tabs>
        <w:tab w:val="clear" w:pos="720"/>
        <w:tab w:val="center" w:pos="4677" w:leader="none"/>
        <w:tab w:val="right" w:pos="9355" w:leader="none"/>
      </w:tabs>
    </w:pPr>
    <w:rPr>
      <w:lang w:val="en-US"/>
    </w:rPr>
  </w:style>
  <w:style w:type="paragraph" w:styleId="24">
    <w:name w:val="Основной текст с отступом 2"/>
    <w:basedOn w:val="Normal"/>
    <w:qFormat/>
    <w:pPr>
      <w:shd w:fill="FFFFFF" w:val="clear"/>
      <w:spacing w:lineRule="exact" w:line="324"/>
      <w:ind w:firstLine="626" w:start="0" w:end="29"/>
      <w:jc w:val="both"/>
    </w:pPr>
    <w:rPr>
      <w:lang w:val="en-US"/>
    </w:rPr>
  </w:style>
  <w:style w:type="paragraph" w:styleId="Style23">
    <w:name w:val="Цитата"/>
    <w:basedOn w:val="Normal"/>
    <w:qFormat/>
    <w:pPr>
      <w:shd w:fill="FFFFFF" w:val="clear"/>
      <w:spacing w:lineRule="exact" w:line="317" w:before="5" w:after="0"/>
      <w:ind w:firstLine="614" w:start="10" w:end="19"/>
      <w:jc w:val="both"/>
    </w:pPr>
    <w:rPr>
      <w:b/>
      <w:bCs/>
      <w:i/>
      <w:iCs/>
      <w:color w:val="000000"/>
      <w:sz w:val="28"/>
      <w:szCs w:val="28"/>
    </w:rPr>
  </w:style>
  <w:style w:type="paragraph" w:styleId="ConsNonformat">
    <w:name w:val="ConsNonformat"/>
    <w:qFormat/>
    <w:pPr>
      <w:widowControl w:val="false"/>
      <w:autoSpaceDE w:val="false"/>
      <w:bidi w:val="0"/>
    </w:pPr>
    <w:rPr>
      <w:rFonts w:ascii="Courier New" w:hAnsi="Courier New" w:eastAsia="Times New Roman" w:cs="Courier New"/>
      <w:color w:val="auto"/>
      <w:sz w:val="20"/>
      <w:szCs w:val="20"/>
      <w:lang w:val="ru-RU" w:bidi="ar-SA" w:eastAsia="zh-CN"/>
    </w:rPr>
  </w:style>
  <w:style w:type="paragraph" w:styleId="25">
    <w:name w:val="Знак Знак Знак2 Знак"/>
    <w:basedOn w:val="Normal"/>
    <w:qFormat/>
    <w:pPr>
      <w:autoSpaceDE w:val="true"/>
      <w:spacing w:lineRule="exact" w:line="240" w:before="0" w:after="160"/>
      <w:jc w:val="end"/>
    </w:pPr>
    <w:rPr>
      <w:lang w:val="en-GB"/>
    </w:rPr>
  </w:style>
  <w:style w:type="paragraph" w:styleId="Style24">
    <w:name w:val="Пункт"/>
    <w:basedOn w:val="Normal"/>
    <w:qFormat/>
    <w:pPr>
      <w:widowControl/>
      <w:autoSpaceDE w:val="true"/>
      <w:spacing w:lineRule="auto" w:line="360"/>
      <w:jc w:val="both"/>
    </w:pPr>
    <w:rPr>
      <w:sz w:val="28"/>
    </w:rPr>
  </w:style>
  <w:style w:type="paragraph" w:styleId="DocumentTitle">
    <w:name w:val="*Document Title"/>
    <w:basedOn w:val="Footer"/>
    <w:qFormat/>
    <w:pPr>
      <w:widowControl/>
      <w:tabs>
        <w:tab w:val="clear" w:pos="4677"/>
        <w:tab w:val="clear" w:pos="9355"/>
      </w:tabs>
      <w:autoSpaceDE w:val="true"/>
      <w:spacing w:before="0" w:after="120"/>
      <w:jc w:val="center"/>
    </w:pPr>
    <w:rPr>
      <w:b/>
      <w:smallCaps/>
      <w:sz w:val="32"/>
      <w:lang w:val="en-US"/>
    </w:rPr>
  </w:style>
  <w:style w:type="paragraph" w:styleId="Normal1">
    <w:name w:val="Normal1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ru-RU" w:bidi="ar-SA" w:eastAsia="zh-CN"/>
    </w:rPr>
  </w:style>
  <w:style w:type="paragraph" w:styleId="33">
    <w:name w:val="Пункт_3"/>
    <w:basedOn w:val="Normal"/>
    <w:qFormat/>
    <w:pPr>
      <w:widowControl/>
      <w:tabs>
        <w:tab w:val="clear" w:pos="720"/>
        <w:tab w:val="left" w:pos="1134" w:leader="none"/>
      </w:tabs>
      <w:autoSpaceDE w:val="true"/>
      <w:spacing w:lineRule="auto" w:line="276" w:before="0" w:after="200"/>
      <w:ind w:hanging="1133" w:start="1134" w:end="0"/>
    </w:pPr>
    <w:rPr>
      <w:rFonts w:ascii="Cambria" w:hAnsi="Cambria" w:cs="Cambria"/>
      <w:sz w:val="22"/>
      <w:szCs w:val="22"/>
    </w:rPr>
  </w:style>
  <w:style w:type="paragraph" w:styleId="Style25">
    <w:name w:val="Без интервала"/>
    <w:qFormat/>
    <w:pPr>
      <w:widowControl/>
      <w:bidi w:val="0"/>
    </w:pPr>
    <w:rPr>
      <w:rFonts w:ascii="Calibri" w:hAnsi="Calibri" w:eastAsia="Times New Roman" w:cs="Calibri"/>
      <w:color w:val="auto"/>
      <w:sz w:val="22"/>
      <w:szCs w:val="22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zakupki.gov.ru/" TargetMode="External"/><Relationship Id="rId3" Type="http://schemas.openxmlformats.org/officeDocument/2006/relationships/hyperlink" Target="https://torgi223.ru/" TargetMode="External"/><Relationship Id="rId4" Type="http://schemas.openxmlformats.org/officeDocument/2006/relationships/hyperlink" Target="http://www.zakupki.gov.ru/" TargetMode="External"/><Relationship Id="rId5" Type="http://schemas.openxmlformats.org/officeDocument/2006/relationships/hyperlink" Target="https://torgi223.ru/" TargetMode="Externa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2025-09-05T04:54:00Z</dcterms:created>
  <dc:creator>Андрей+Кирилл</dc:creator>
  <dc:description/>
  <cp:keywords/>
  <dc:language>en-US</dc:language>
  <cp:lastModifiedBy>Малыгина Ирина</cp:lastModifiedBy>
  <cp:lastPrinted>2025-09-19T13:27:00Z</cp:lastPrinted>
  <dcterms:modified xsi:type="dcterms:W3CDTF">2025-12-15T10:51:00Z</dcterms:modified>
  <cp:revision>18</cp:revision>
  <dc:subject/>
  <dc:title>«УТВЕРЖДАЮ»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A96622CDB0734D448D61CAB1CCD1D999_12</vt:lpwstr>
  </property>
  <property fmtid="{D5CDD505-2E9C-101B-9397-08002B2CF9AE}" pid="3" name="KSOProductBuildVer">
    <vt:lpwstr>1049-12.2.0.20326</vt:lpwstr>
  </property>
</Properties>
</file>