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Протокол подведения итогов</w:t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№</w:t>
      </w:r>
      <w:r>
        <w:rPr>
          <w:rFonts w:cs="Times New Roman" w:ascii="Times New Roman" w:hAnsi="Times New Roman"/>
          <w:b/>
          <w:bCs/>
          <w:sz w:val="16"/>
          <w:szCs w:val="16"/>
        </w:rPr>
        <w:t>32515444467</w:t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10228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96"/>
        <w:gridCol w:w="5132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г. Сургут, ул. Маяковского, д. 15 </w:t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«15» декабря 2025 г.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132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Заказчиком является: СУРГУТСКОЕ ГОРОДСКОЕ МУНИЦИПАЛЬНОЕ УНИТАРНОЕ ПРЕДПРИЯТИЕ "ГОРОДСКИЕ ТЕПЛОВЫЕ СЕТИ"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/>
      </w:pPr>
      <w:r>
        <w:rPr>
          <w:rFonts w:cs="Times New Roman" w:ascii="Times New Roman" w:hAnsi="Times New Roman"/>
          <w:sz w:val="16"/>
          <w:szCs w:val="16"/>
        </w:rPr>
        <w:t>Организатором процедуры является: СУРГУТСКОЕ ГОРОДСКОЕ МУНИЦИПАЛЬНОЕ УНИТАРНОЕ ПРЕДПРИЯТИЕ "ГОРОДСКИЕ ТЕПЛОВЫЕ СЕТИ"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/>
      </w:pPr>
      <w:r>
        <w:rPr>
          <w:rFonts w:cs="Times New Roman" w:ascii="Times New Roman" w:hAnsi="Times New Roman"/>
          <w:sz w:val="16"/>
          <w:szCs w:val="16"/>
        </w:rPr>
        <w:t xml:space="preserve">Форма торгов: </w:t>
      </w:r>
      <w:r>
        <w:rPr>
          <w:rFonts w:cs="Times New Roman" w:ascii="Times New Roman" w:hAnsi="Times New Roman"/>
          <w:bCs/>
          <w:sz w:val="16"/>
          <w:szCs w:val="16"/>
        </w:rPr>
        <w:t xml:space="preserve">Конкурс в электронной форме, участниками которого могут быть только субъекты малого и среднего предпринимательства, далее по тексту – Конкурс. </w:t>
      </w:r>
    </w:p>
    <w:p>
      <w:pPr>
        <w:pStyle w:val="Normal"/>
        <w:numPr>
          <w:ilvl w:val="0"/>
          <w:numId w:val="1"/>
        </w:numPr>
        <w:autoSpaceDE w:val="false"/>
        <w:spacing w:lineRule="auto" w:line="240" w:before="0" w:after="0"/>
        <w:ind w:firstLine="426" w:start="0" w:end="0"/>
        <w:jc w:val="both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cs="Times New Roman" w:ascii="Times New Roman" w:hAnsi="Times New Roman"/>
          <w:b/>
          <w:color w:val="000000"/>
          <w:sz w:val="16"/>
          <w:szCs w:val="16"/>
        </w:rPr>
        <w:t xml:space="preserve">Наименование способа закупки: </w:t>
      </w:r>
      <w:r>
        <w:rPr>
          <w:rFonts w:cs="Times New Roman" w:ascii="Times New Roman" w:hAnsi="Times New Roman"/>
          <w:bCs/>
          <w:color w:val="000000"/>
          <w:sz w:val="16"/>
          <w:szCs w:val="16"/>
        </w:rPr>
        <w:t>Конкурс в электронной форме.</w:t>
      </w:r>
    </w:p>
    <w:p>
      <w:pPr>
        <w:pStyle w:val="Normal"/>
        <w:numPr>
          <w:ilvl w:val="0"/>
          <w:numId w:val="1"/>
        </w:numPr>
        <w:autoSpaceDE w:val="false"/>
        <w:spacing w:lineRule="auto" w:line="240" w:before="0" w:after="0"/>
        <w:ind w:firstLine="426" w:start="0" w:end="0"/>
        <w:jc w:val="both"/>
        <w:rPr>
          <w:rFonts w:ascii="Times New Roman" w:hAnsi="Times New Roman" w:cs="Times New Roman"/>
          <w:b/>
          <w:color w:val="000000"/>
          <w:sz w:val="16"/>
          <w:szCs w:val="16"/>
        </w:rPr>
      </w:pPr>
      <w:r>
        <w:rPr>
          <w:rFonts w:cs="Times New Roman" w:ascii="Times New Roman" w:hAnsi="Times New Roman"/>
          <w:b/>
          <w:color w:val="000000"/>
          <w:sz w:val="16"/>
          <w:szCs w:val="16"/>
        </w:rPr>
        <w:t xml:space="preserve">Предмет закупки (предмет договора): </w:t>
      </w:r>
      <w:r>
        <w:rPr>
          <w:rFonts w:cs="Times New Roman" w:ascii="Times New Roman" w:hAnsi="Times New Roman"/>
          <w:bCs/>
          <w:color w:val="000000"/>
          <w:sz w:val="16"/>
          <w:szCs w:val="16"/>
        </w:rPr>
        <w:t>Оказание услуг по добровольному медицинскому страхованию.</w:t>
      </w:r>
    </w:p>
    <w:p>
      <w:pPr>
        <w:pStyle w:val="Normal"/>
        <w:numPr>
          <w:ilvl w:val="0"/>
          <w:numId w:val="1"/>
        </w:numPr>
        <w:autoSpaceDE w:val="false"/>
        <w:spacing w:lineRule="auto" w:line="240" w:before="0" w:after="0"/>
        <w:ind w:firstLine="426" w:start="0" w:end="0"/>
        <w:jc w:val="both"/>
        <w:rPr>
          <w:rFonts w:ascii="Times New Roman" w:hAnsi="Times New Roman" w:cs="Times New Roman"/>
          <w:b/>
          <w:color w:val="000000"/>
          <w:sz w:val="16"/>
          <w:szCs w:val="16"/>
        </w:rPr>
      </w:pPr>
      <w:r>
        <w:rPr>
          <w:rFonts w:cs="Times New Roman" w:ascii="Times New Roman" w:hAnsi="Times New Roman"/>
          <w:b/>
          <w:color w:val="000000"/>
          <w:sz w:val="16"/>
          <w:szCs w:val="16"/>
        </w:rPr>
        <w:t xml:space="preserve">Начальная (максимальная) цена договора: </w:t>
      </w:r>
      <w:r>
        <w:rPr>
          <w:rFonts w:cs="Times New Roman" w:ascii="Times New Roman" w:hAnsi="Times New Roman"/>
          <w:bCs/>
          <w:color w:val="000000"/>
          <w:sz w:val="16"/>
          <w:szCs w:val="16"/>
        </w:rPr>
        <w:t>42 743 996 рублей 46 копеек.</w:t>
      </w:r>
    </w:p>
    <w:p>
      <w:pPr>
        <w:pStyle w:val="Normal"/>
        <w:numPr>
          <w:ilvl w:val="0"/>
          <w:numId w:val="1"/>
        </w:numPr>
        <w:autoSpaceDE w:val="false"/>
        <w:spacing w:lineRule="auto" w:line="240" w:before="0" w:after="0"/>
        <w:ind w:firstLine="426" w:start="0" w:end="0"/>
        <w:jc w:val="both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cs="Times New Roman" w:ascii="Times New Roman" w:hAnsi="Times New Roman"/>
          <w:bCs/>
          <w:color w:val="000000"/>
          <w:sz w:val="16"/>
          <w:szCs w:val="16"/>
        </w:rPr>
        <w:t>Извещение о проведении настоящей процедуры было размещено «25» ноября 2025 г. на сайте Единой электронной торговой площадки (АО «ЕЭТП») по адресу в сети «Интернет»: https://com.roseltorg.ru/ и сайте Единой информационной системы в сфере закупок по адресу в сети «Интернет»: http://zakupki.gov.ru/.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426" w:start="0" w:end="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Рассмотрение, оценка и сопоставление заявок на участие в конкурсе</w:t>
      </w:r>
      <w:r>
        <w:rPr>
          <w:rFonts w:cs="Times New Roman" w:ascii="Times New Roman" w:hAnsi="Times New Roman"/>
          <w:sz w:val="16"/>
          <w:szCs w:val="16"/>
        </w:rPr>
        <w:t xml:space="preserve"> в электронной форме проводилось Комиссией по закупкам, утвержденной приказом СГМУП "ГТС" № 1301-02 от 08.08.2018 "О создании комиссии по осуществлению закупок", по адресу: г. Сургут,                          ул. Маяковского, д.15.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426" w:start="0" w:end="0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Срок исполнения договора: по 28 февраля 2028 года.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426" w:start="0" w:end="0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/>
        <w:t>Сведения об объеме закупаемых товаров, работ, услуг:</w:t>
      </w:r>
    </w:p>
    <w:tbl>
      <w:tblPr>
        <w:tblW w:w="5000" w:type="pct"/>
        <w:jc w:val="start"/>
        <w:tblInd w:w="-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840"/>
        <w:gridCol w:w="1024"/>
        <w:gridCol w:w="1635"/>
        <w:gridCol w:w="1180"/>
        <w:gridCol w:w="1624"/>
        <w:gridCol w:w="1185"/>
      </w:tblGrid>
      <w:tr>
        <w:trPr>
          <w:trHeight w:val="524" w:hRule="atLeast"/>
          <w:cantSplit w:val="true"/>
        </w:trPr>
        <w:tc>
          <w:tcPr>
            <w:tcW w:w="3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sz w:val="19"/>
                <w:szCs w:val="19"/>
              </w:rPr>
              <w:t>Наименование ТРУ</w:t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sz w:val="19"/>
                <w:szCs w:val="19"/>
              </w:rPr>
              <w:t>Количество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sz w:val="19"/>
                <w:szCs w:val="19"/>
              </w:rPr>
              <w:t>Единица измерения</w:t>
            </w:r>
          </w:p>
        </w:tc>
        <w:tc>
          <w:tcPr>
            <w:tcW w:w="1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sz w:val="19"/>
                <w:szCs w:val="19"/>
              </w:rPr>
              <w:t>Цена ТРУ</w:t>
            </w:r>
          </w:p>
        </w:tc>
        <w:tc>
          <w:tcPr>
            <w:tcW w:w="1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sz w:val="19"/>
                <w:szCs w:val="19"/>
              </w:rPr>
              <w:t>Код ОКПД2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sz w:val="19"/>
                <w:szCs w:val="19"/>
              </w:rPr>
              <w:t>Код ОКВЭД2</w:t>
            </w:r>
          </w:p>
        </w:tc>
      </w:tr>
      <w:tr>
        <w:trPr>
          <w:trHeight w:val="146" w:hRule="atLeast"/>
          <w:cantSplit w:val="true"/>
        </w:trPr>
        <w:tc>
          <w:tcPr>
            <w:tcW w:w="3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Оказание услуг по добровольному медицинскому страхованию 2026г.</w:t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891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Человек</w:t>
            </w:r>
          </w:p>
        </w:tc>
        <w:tc>
          <w:tcPr>
            <w:tcW w:w="1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napToGrid w:val="false"/>
              <w:spacing w:lineRule="auto" w:line="240" w:before="0" w:after="0"/>
              <w:ind w:start="362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65.12.12.000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65.12</w:t>
            </w:r>
          </w:p>
        </w:tc>
      </w:tr>
      <w:tr>
        <w:trPr>
          <w:trHeight w:val="146" w:hRule="atLeast"/>
          <w:cantSplit w:val="true"/>
        </w:trPr>
        <w:tc>
          <w:tcPr>
            <w:tcW w:w="3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Оказание услуг по добровольному медицинскому страхованию 2027г.</w:t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891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Человек</w:t>
            </w:r>
          </w:p>
        </w:tc>
        <w:tc>
          <w:tcPr>
            <w:tcW w:w="1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napToGrid w:val="false"/>
              <w:spacing w:lineRule="auto" w:line="240" w:before="0" w:after="0"/>
              <w:ind w:start="362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65.12.12.000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autoSpaceDE w:val="false"/>
              <w:spacing w:lineRule="auto" w:line="240" w:before="0" w:after="0"/>
              <w:ind w:start="0" w:end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65.12</w:t>
            </w:r>
          </w:p>
        </w:tc>
      </w:tr>
    </w:tbl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426" w:start="0" w:end="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Комиссия по закупкам рассмотрела заявки в соответствии с требованиями и условиями, установленными в извещении и документации, и приняла решение:</w:t>
      </w:r>
    </w:p>
    <w:p>
      <w:pPr>
        <w:pStyle w:val="Normal"/>
        <w:widowControl w:val="false"/>
        <w:numPr>
          <w:ilvl w:val="1"/>
          <w:numId w:val="1"/>
        </w:numPr>
        <w:autoSpaceDE w:val="false"/>
        <w:spacing w:lineRule="auto" w:line="240" w:before="0" w:after="0"/>
        <w:ind w:firstLine="284" w:start="0" w:end="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>
        <w:rPr/>
        <w:t>Признать соответствующими требованиям к участникам и допустить следующих участников к этапу оценки и сопоставления заявок:</w:t>
      </w:r>
    </w:p>
    <w:tbl>
      <w:tblPr>
        <w:tblW w:w="5000" w:type="pct"/>
        <w:jc w:val="start"/>
        <w:tblInd w:w="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1227"/>
        <w:gridCol w:w="1625"/>
        <w:gridCol w:w="1624"/>
        <w:gridCol w:w="1305"/>
        <w:gridCol w:w="4707"/>
      </w:tblGrid>
      <w:tr>
        <w:trPr>
          <w:trHeight w:val="881" w:hRule="atLeast"/>
        </w:trPr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Порядковый номер заявки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 xml:space="preserve">№ </w:t>
            </w: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заявки</w:t>
            </w:r>
          </w:p>
        </w:tc>
        <w:tc>
          <w:tcPr>
            <w:tcW w:w="1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Дата и время регистрации заявки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Статус допуска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Основание для решения</w:t>
            </w:r>
          </w:p>
        </w:tc>
      </w:tr>
      <w:tr>
        <w:trPr/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Заявка на участие                      № 1351839876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 ЭП</w:t>
            </w:r>
          </w:p>
        </w:tc>
        <w:tc>
          <w:tcPr>
            <w:tcW w:w="1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02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.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12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.202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5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15:58                               (МСК)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firstLine="118" w:end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Допустить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Заявка на участие                      № 3264026831 на ЭП</w:t>
            </w:r>
          </w:p>
        </w:tc>
        <w:tc>
          <w:tcPr>
            <w:tcW w:w="1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11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.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12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.202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5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06:14                               (МСК)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firstLine="118" w:end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Допустить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Состав документов заявителя соответствует требованиям документации</w:t>
            </w:r>
          </w:p>
        </w:tc>
      </w:tr>
    </w:tbl>
    <w:p>
      <w:pPr>
        <w:sectPr>
          <w:type w:val="nextPage"/>
          <w:pgSz w:w="11906" w:h="16838"/>
          <w:pgMar w:left="851" w:right="567" w:gutter="0" w:header="0" w:top="851" w:footer="0" w:bottom="284"/>
          <w:pgNumType w:start="1" w:fmt="decimal"/>
          <w:formProt w:val="false"/>
          <w:textDirection w:val="lrTb"/>
          <w:docGrid w:type="default" w:linePitch="299" w:charSpace="0"/>
        </w:sectPr>
      </w:pPr>
    </w:p>
    <w:p>
      <w:pPr>
        <w:pStyle w:val="Style18"/>
        <w:widowControl w:val="false"/>
        <w:numPr>
          <w:ilvl w:val="0"/>
          <w:numId w:val="1"/>
        </w:numPr>
        <w:autoSpaceDE w:val="false"/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Предложения участников закупки по критериям оценки заявок, указанным в документации, результаты оценки и сопоставления заявок.</w:t>
      </w:r>
    </w:p>
    <w:p>
      <w:pPr>
        <w:pStyle w:val="Normal"/>
        <w:autoSpaceDE w:val="false"/>
        <w:spacing w:lineRule="auto" w:line="240" w:before="0" w:after="0"/>
        <w:ind w:firstLine="540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pPr w:vertAnchor="text" w:horzAnchor="text" w:leftFromText="180" w:rightFromText="180" w:tblpX="-29" w:tblpY="1"/>
        <w:tblOverlap w:val="never"/>
        <w:tblW w:w="1561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26"/>
        <w:gridCol w:w="816"/>
        <w:gridCol w:w="951"/>
        <w:gridCol w:w="951"/>
        <w:gridCol w:w="1175"/>
        <w:gridCol w:w="904"/>
        <w:gridCol w:w="915"/>
        <w:gridCol w:w="904"/>
        <w:gridCol w:w="915"/>
        <w:gridCol w:w="904"/>
        <w:gridCol w:w="915"/>
        <w:gridCol w:w="958"/>
        <w:gridCol w:w="1151"/>
        <w:gridCol w:w="904"/>
        <w:gridCol w:w="961"/>
        <w:gridCol w:w="966"/>
      </w:tblGrid>
      <w:tr>
        <w:trPr>
          <w:trHeight w:val="3675" w:hRule="atLeast"/>
        </w:trPr>
        <w:tc>
          <w:tcPr>
            <w:tcW w:w="13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Наименование участника</w:t>
            </w:r>
          </w:p>
        </w:tc>
        <w:tc>
          <w:tcPr>
            <w:tcW w:w="81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 xml:space="preserve">№ </w:t>
            </w: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заявки</w:t>
            </w:r>
          </w:p>
        </w:tc>
        <w:tc>
          <w:tcPr>
            <w:tcW w:w="19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Критерий «Цена договора»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(</w:t>
            </w:r>
            <w:r>
              <w:rPr>
                <w:rFonts w:cs="Times New Roman" w:ascii="Times New Roman" w:hAnsi="Times New Roman"/>
                <w:b/>
                <w:sz w:val="12"/>
                <w:szCs w:val="12"/>
                <w:lang w:val="en-US" w:eastAsia="en-US"/>
              </w:rPr>
              <w:t>max</w:t>
            </w: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 xml:space="preserve"> 40%)</w:t>
            </w:r>
          </w:p>
        </w:tc>
        <w:tc>
          <w:tcPr>
            <w:tcW w:w="389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Критерий «Квалификация Участника закупки, в том числе персонала Участника, который предполагается привлечь для исполнения Договора, опыт исполнения Договоров на поставку товаров, выполнения работ, оказания услуг, аналогичных закупаемым, образование, квалификация персонала участника, включая наличие учёных степеней» - (max 40%)</w:t>
            </w:r>
          </w:p>
        </w:tc>
        <w:tc>
          <w:tcPr>
            <w:tcW w:w="369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Критерий "Деловая репутация и надежность Участника закупок" - (max 10%)</w:t>
            </w:r>
          </w:p>
        </w:tc>
        <w:tc>
          <w:tcPr>
            <w:tcW w:w="20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Критерий «Наличие у Участника технических/производственных мощностей, технологического оборудования, трудовых, финансовых и иных ресурсов, необходимых для поставки товаров, выполнения работ, оказания услуг» - (max 10%)</w:t>
            </w:r>
          </w:p>
        </w:tc>
        <w:tc>
          <w:tcPr>
            <w:tcW w:w="9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 xml:space="preserve">Итоговый балл </w:t>
            </w:r>
          </w:p>
        </w:tc>
        <w:tc>
          <w:tcPr>
            <w:tcW w:w="9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Порядковый номер, присвоенный по мере ухудшения результатов оценки и сопоставления заявок на участие в конкурсе</w:t>
            </w:r>
          </w:p>
        </w:tc>
      </w:tr>
      <w:tr>
        <w:trPr>
          <w:trHeight w:val="292" w:hRule="atLeast"/>
        </w:trPr>
        <w:tc>
          <w:tcPr>
            <w:tcW w:w="13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</w:r>
          </w:p>
        </w:tc>
        <w:tc>
          <w:tcPr>
            <w:tcW w:w="8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</w:r>
          </w:p>
        </w:tc>
        <w:tc>
          <w:tcPr>
            <w:tcW w:w="19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Подкритерий «Расходы на ведение дела (РВД страховщика)»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(Значимость показателя – 100)</w:t>
            </w:r>
          </w:p>
        </w:tc>
        <w:tc>
          <w:tcPr>
            <w:tcW w:w="20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Подкритерий «Размер страховых премий по ДМС, полученных по итогам 2024 года на территории РФ» - значимость показателя (ЗП) – 20</w:t>
            </w:r>
          </w:p>
        </w:tc>
        <w:tc>
          <w:tcPr>
            <w:tcW w:w="18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Подкритерий «Доля страховых резервов в пассиве за 2024 год» - значимость показателя (ЗП) – 80</w:t>
            </w:r>
          </w:p>
        </w:tc>
        <w:tc>
          <w:tcPr>
            <w:tcW w:w="18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Подкритерий «Деловая репутация Участника закупок» - значимость показателя (ЗП) – 20</w:t>
            </w:r>
          </w:p>
        </w:tc>
        <w:tc>
          <w:tcPr>
            <w:tcW w:w="18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Подкритерий «Рейтинг надежности участника, присвоенный рейтинговым агентством «Эксперт РА (по национальной шкале)» - значимость показателя (ЗП) – 80</w:t>
            </w:r>
          </w:p>
        </w:tc>
        <w:tc>
          <w:tcPr>
            <w:tcW w:w="20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eastAsia="en-US"/>
              </w:rPr>
              <w:t>Подкритерий «Размер уставного капитала».  - значимость показателя (ЗП) – 100</w:t>
            </w:r>
          </w:p>
        </w:tc>
        <w:tc>
          <w:tcPr>
            <w:tcW w:w="9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  <w:lang w:eastAsia="en-US"/>
              </w:rPr>
            </w:r>
          </w:p>
        </w:tc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Cs/>
                <w:sz w:val="12"/>
                <w:szCs w:val="12"/>
                <w:lang w:eastAsia="en-US"/>
              </w:rPr>
            </w:r>
          </w:p>
        </w:tc>
      </w:tr>
      <w:tr>
        <w:trPr>
          <w:trHeight w:val="696" w:hRule="atLeast"/>
        </w:trPr>
        <w:tc>
          <w:tcPr>
            <w:tcW w:w="13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  <w:lang w:eastAsia="en-US"/>
              </w:rPr>
            </w:r>
          </w:p>
        </w:tc>
        <w:tc>
          <w:tcPr>
            <w:tcW w:w="8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2"/>
                <w:szCs w:val="12"/>
              </w:rPr>
              <w:t>Предложение участника закупки по подкритерию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b/>
                <w:color w:val="000000"/>
                <w:sz w:val="12"/>
                <w:szCs w:val="12"/>
              </w:rPr>
              <w:t>Оценка по подкритерию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Предложение участника закупки по подкритерию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Оценка по подкритерию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Предложение участника закупки по подкритерию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Оценка по подкритерию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Предложение участника закупки по подкритерию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Оценка по подкритерию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Предложение участника закупки по подкритерию</w:t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Оценка по подкритерию</w:t>
            </w:r>
          </w:p>
        </w:tc>
        <w:tc>
          <w:tcPr>
            <w:tcW w:w="1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Предложение участника закупки по подкритерию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  <w:t>Оценка по подкритерию</w:t>
            </w:r>
          </w:p>
        </w:tc>
        <w:tc>
          <w:tcPr>
            <w:tcW w:w="9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</w:r>
          </w:p>
        </w:tc>
        <w:tc>
          <w:tcPr>
            <w:tcW w:w="9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Cs/>
                <w:color w:val="000000"/>
                <w:sz w:val="12"/>
                <w:szCs w:val="12"/>
              </w:rPr>
            </w:r>
          </w:p>
        </w:tc>
      </w:tr>
      <w:tr>
        <w:trPr>
          <w:trHeight w:val="1231" w:hRule="atLeast"/>
        </w:trPr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Акционерное общество «АльфаСтрахование»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Заявка на участие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№ 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1351839876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3%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40,00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35 823 453 089,91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8,00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67,32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32,00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128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2,00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ruAAA</w:t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8,00</w:t>
            </w:r>
          </w:p>
        </w:tc>
        <w:tc>
          <w:tcPr>
            <w:tcW w:w="1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22 500 000 000,00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10,00</w:t>
            </w:r>
          </w:p>
        </w:tc>
        <w:tc>
          <w:tcPr>
            <w:tcW w:w="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100,00</w:t>
            </w:r>
          </w:p>
        </w:tc>
      </w:tr>
      <w:tr>
        <w:trPr>
          <w:trHeight w:val="805" w:hRule="atLeast"/>
        </w:trPr>
        <w:tc>
          <w:tcPr>
            <w:tcW w:w="1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Акционерное общество «Страховое общество газовой промышленности»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Заявка на участие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№ 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3264026831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0%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40,00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96 418 227 930,02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8,00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52,41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24,91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12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0,19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ruAAA</w:t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8,00</w:t>
            </w:r>
          </w:p>
        </w:tc>
        <w:tc>
          <w:tcPr>
            <w:tcW w:w="1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30 110 751 300,00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10,00</w:t>
            </w:r>
          </w:p>
        </w:tc>
        <w:tc>
          <w:tcPr>
            <w:tcW w:w="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91,10</w:t>
            </w:r>
          </w:p>
        </w:tc>
      </w:tr>
    </w:tbl>
    <w:p>
      <w:pPr>
        <w:pStyle w:val="Normal"/>
        <w:autoSpaceDE w:val="false"/>
        <w:spacing w:lineRule="auto" w:line="240" w:before="0" w:after="0"/>
        <w:ind w:firstLine="540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autoSpaceDE w:val="false"/>
        <w:spacing w:lineRule="auto" w:line="240" w:before="0" w:after="0"/>
        <w:ind w:firstLine="540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sectPr>
          <w:type w:val="nextPage"/>
          <w:pgSz w:orient="landscape" w:w="16838" w:h="11906"/>
          <w:pgMar w:left="720" w:right="720" w:gutter="0" w:header="0" w:top="720" w:footer="0" w:bottom="720"/>
          <w:pgNumType w:start="1" w:fmt="decimal"/>
          <w:formProt w:val="false"/>
          <w:textDirection w:val="lrTb"/>
          <w:docGrid w:type="default" w:linePitch="299" w:charSpace="0"/>
        </w:sectPr>
        <w:pStyle w:val="Normal"/>
        <w:autoSpaceDE w:val="false"/>
        <w:spacing w:lineRule="auto" w:line="240" w:before="0" w:after="0"/>
        <w:ind w:firstLine="540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Style18"/>
        <w:widowControl w:val="false"/>
        <w:autoSpaceDE w:val="false"/>
        <w:spacing w:lineRule="auto" w:line="240" w:before="0" w:after="0"/>
        <w:ind w:start="568" w:end="0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8.   По результатам оценки и сопоставления заявок:</w:t>
      </w:r>
    </w:p>
    <w:p>
      <w:pPr>
        <w:pStyle w:val="Style18"/>
        <w:widowControl w:val="false"/>
        <w:shd w:fill="FFFFFF" w:val="clear"/>
        <w:tabs>
          <w:tab w:val="clear" w:pos="720"/>
          <w:tab w:val="left" w:pos="709" w:leader="none"/>
        </w:tabs>
        <w:autoSpaceDE w:val="false"/>
        <w:spacing w:lineRule="auto" w:line="240" w:before="0" w:after="0"/>
        <w:ind w:firstLine="340" w:start="0" w:end="0"/>
        <w:contextualSpacing w:val="false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8.1. Признать победителем конкурса в электронной форме - Акционерное общество "АльфаСтрахование", ИНН: 7713056834, место нахождения: 115280, г. Москва, вн. тер. г. муниципальный округ Даниловский, пр-кт. Лихачёва, д.15, пом. 2/15.</w:t>
      </w:r>
    </w:p>
    <w:p>
      <w:pPr>
        <w:pStyle w:val="Style18"/>
        <w:widowControl w:val="false"/>
        <w:shd w:fill="FFFFFF" w:val="clear"/>
        <w:tabs>
          <w:tab w:val="clear" w:pos="720"/>
          <w:tab w:val="left" w:pos="709" w:leader="none"/>
        </w:tabs>
        <w:autoSpaceDE w:val="false"/>
        <w:spacing w:lineRule="auto" w:line="240" w:before="0" w:after="0"/>
        <w:ind w:firstLine="340" w:start="0" w:end="0"/>
        <w:contextualSpacing w:val="false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8.2. Заключить договор с Победителем по цене договора, предложенной Победителем: 42 743 996 (Сорок два миллиона семьсот сорок три тысячи девятьсот девяносто шесть) рублей 46 копеек.</w:t>
      </w:r>
    </w:p>
    <w:p>
      <w:pPr>
        <w:pStyle w:val="Style19"/>
        <w:ind w:firstLine="340" w:end="0"/>
        <w:jc w:val="both"/>
        <w:rPr/>
      </w:pPr>
      <w:r>
        <w:rPr>
          <w:rFonts w:cs="Times New Roman" w:ascii="Times New Roman" w:hAnsi="Times New Roman"/>
          <w:sz w:val="16"/>
          <w:szCs w:val="16"/>
        </w:rPr>
        <w:t>Объем и срок исполнения по договору: в соответствии с проектом договора (раздел V «Проект договора» Документации) и техническим заданием (раздел IV «Техническое задание» Документации).</w:t>
      </w:r>
    </w:p>
    <w:p>
      <w:pPr>
        <w:pStyle w:val="Style18"/>
        <w:widowControl w:val="false"/>
        <w:autoSpaceDE w:val="false"/>
        <w:spacing w:lineRule="auto" w:line="240" w:before="0" w:after="0"/>
        <w:ind w:start="568" w:end="0"/>
        <w:contextualSpacing/>
        <w:jc w:val="both"/>
        <w:rPr/>
      </w:pPr>
      <w:r>
        <w:rPr>
          <w:rFonts w:cs="Times New Roman" w:ascii="Times New Roman" w:hAnsi="Times New Roman"/>
          <w:b/>
          <w:sz w:val="16"/>
          <w:szCs w:val="16"/>
        </w:rPr>
        <w:t xml:space="preserve">9.  </w:t>
      </w:r>
      <w:r>
        <w:rPr/>
        <w:t>Подписи членов Комиссии по закупкам: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3"/>
        <w:gridCol w:w="5455"/>
      </w:tblGrid>
      <w:tr>
        <w:trPr>
          <w:trHeight w:val="255" w:hRule="atLeast"/>
        </w:trPr>
        <w:tc>
          <w:tcPr>
            <w:tcW w:w="5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"ЗА"</w:t>
            </w:r>
          </w:p>
        </w:tc>
        <w:tc>
          <w:tcPr>
            <w:tcW w:w="5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"ПРОТИВ"</w:t>
            </w:r>
          </w:p>
        </w:tc>
      </w:tr>
      <w:tr>
        <w:trPr>
          <w:trHeight w:val="255" w:hRule="atLeast"/>
        </w:trPr>
        <w:tc>
          <w:tcPr>
            <w:tcW w:w="5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center" w:pos="2443" w:leader="none"/>
                <w:tab w:val="left" w:pos="3114" w:leader="none"/>
              </w:tabs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5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0</w:t>
            </w:r>
          </w:p>
        </w:tc>
      </w:tr>
    </w:tbl>
    <w:p>
      <w:pPr>
        <w:pStyle w:val="Style18"/>
        <w:widowControl w:val="false"/>
        <w:autoSpaceDE w:val="false"/>
        <w:spacing w:lineRule="auto" w:line="240" w:before="0" w:after="0"/>
        <w:ind w:start="567" w:end="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5050" w:type="pct"/>
        <w:jc w:val="start"/>
        <w:tblInd w:w="-112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3249"/>
        <w:gridCol w:w="3864"/>
        <w:gridCol w:w="3479"/>
      </w:tblGrid>
      <w:tr>
        <w:trPr/>
        <w:tc>
          <w:tcPr>
            <w:tcW w:w="324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Члены комиссии</w:t>
            </w:r>
          </w:p>
        </w:tc>
        <w:tc>
          <w:tcPr>
            <w:tcW w:w="3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Ф. И. О.</w:t>
            </w:r>
          </w:p>
        </w:tc>
        <w:tc>
          <w:tcPr>
            <w:tcW w:w="3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Подпись</w:t>
            </w:r>
          </w:p>
        </w:tc>
      </w:tr>
      <w:tr>
        <w:trPr>
          <w:trHeight w:val="135" w:hRule="atLeast"/>
        </w:trPr>
        <w:tc>
          <w:tcPr>
            <w:tcW w:w="324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Юркин Василий Николаевич</w:t>
            </w:r>
          </w:p>
        </w:tc>
        <w:tc>
          <w:tcPr>
            <w:tcW w:w="3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35" w:hRule="atLeast"/>
        </w:trPr>
        <w:tc>
          <w:tcPr>
            <w:tcW w:w="324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Бегичев Виталий Васильевич</w:t>
            </w:r>
          </w:p>
        </w:tc>
        <w:tc>
          <w:tcPr>
            <w:tcW w:w="3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35" w:hRule="atLeast"/>
        </w:trPr>
        <w:tc>
          <w:tcPr>
            <w:tcW w:w="324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Стебенева Марина Валерьевна</w:t>
            </w:r>
          </w:p>
        </w:tc>
        <w:tc>
          <w:tcPr>
            <w:tcW w:w="3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35" w:hRule="atLeast"/>
        </w:trPr>
        <w:tc>
          <w:tcPr>
            <w:tcW w:w="324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Седавных Михаил Анатольевич </w:t>
            </w:r>
          </w:p>
        </w:tc>
        <w:tc>
          <w:tcPr>
            <w:tcW w:w="3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/>
        <w:tc>
          <w:tcPr>
            <w:tcW w:w="324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Стратий Сергей Федорович</w:t>
            </w:r>
          </w:p>
        </w:tc>
        <w:tc>
          <w:tcPr>
            <w:tcW w:w="3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/>
        <w:tc>
          <w:tcPr>
            <w:tcW w:w="324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Шарапова Елена Викторовна</w:t>
            </w:r>
          </w:p>
        </w:tc>
        <w:tc>
          <w:tcPr>
            <w:tcW w:w="3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05" w:hRule="atLeast"/>
        </w:trPr>
        <w:tc>
          <w:tcPr>
            <w:tcW w:w="324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Шкилёв Борис Павлович </w:t>
            </w:r>
          </w:p>
        </w:tc>
        <w:tc>
          <w:tcPr>
            <w:tcW w:w="3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Style18"/>
        <w:widowControl w:val="false"/>
        <w:autoSpaceDE w:val="false"/>
        <w:spacing w:lineRule="auto" w:line="240" w:before="0" w:after="0"/>
        <w:ind w:start="567" w:end="0"/>
        <w:contextualSpacing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6"/>
        <w:gridCol w:w="2724"/>
        <w:gridCol w:w="2725"/>
        <w:gridCol w:w="2723"/>
      </w:tblGrid>
      <w:tr>
        <w:trPr>
          <w:trHeight w:val="1418" w:hRule="exact"/>
        </w:trPr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</w:tr>
      <w:tr>
        <w:trPr>
          <w:trHeight w:val="1418" w:hRule="exact"/>
        </w:trPr>
        <w:tc>
          <w:tcPr>
            <w:tcW w:w="2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  <w:tc>
          <w:tcPr>
            <w:tcW w:w="2723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sectPr>
      <w:type w:val="nextPage"/>
      <w:pgSz w:w="11906" w:h="16838"/>
      <w:pgMar w:left="851" w:right="567" w:gutter="0" w:header="0" w:top="851" w:footer="0" w:bottom="284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928" w:hanging="360"/>
      </w:pPr>
      <w:rPr>
        <w:sz w:val="16"/>
        <w:b/>
        <w:szCs w:val="16"/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927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287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287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647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647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2007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2007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367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  <w:b/>
      <w:sz w:val="26"/>
      <w:szCs w:val="26"/>
    </w:rPr>
  </w:style>
  <w:style w:type="character" w:styleId="WW8Num1z1">
    <w:name w:val="WW8Num1z1"/>
    <w:qFormat/>
    <w:rPr>
      <w:b/>
    </w:rPr>
  </w:style>
  <w:style w:type="character" w:styleId="WW8Num1z2">
    <w:name w:val="WW8Num1z2"/>
    <w:qFormat/>
    <w:rPr/>
  </w:style>
  <w:style w:type="character" w:styleId="WW8Num2z0">
    <w:name w:val="WW8Num2z0"/>
    <w:qFormat/>
    <w:rPr>
      <w:rFonts w:ascii="Times New Roman" w:hAnsi="Times New Roman" w:cs="Times New Roman"/>
      <w:b w:val="false"/>
      <w:sz w:val="22"/>
      <w:szCs w:val="26"/>
    </w:rPr>
  </w:style>
  <w:style w:type="character" w:styleId="WW8Num2z1">
    <w:name w:val="WW8Num2z1"/>
    <w:qFormat/>
    <w:rPr>
      <w:b w:val="false"/>
    </w:rPr>
  </w:style>
  <w:style w:type="character" w:styleId="WW8Num2z2">
    <w:name w:val="WW8Num2z2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b w:val="false"/>
    </w:rPr>
  </w:style>
  <w:style w:type="character" w:styleId="WW8Num5z1">
    <w:name w:val="WW8Num5z1"/>
    <w:qFormat/>
    <w:rPr/>
  </w:style>
  <w:style w:type="character" w:styleId="WW8Num6z0">
    <w:name w:val="WW8Num6z0"/>
    <w:qFormat/>
    <w:rPr>
      <w:sz w:val="24"/>
    </w:rPr>
  </w:style>
  <w:style w:type="character" w:styleId="WW8Num6z1">
    <w:name w:val="WW8Num6z1"/>
    <w:qFormat/>
    <w:rPr/>
  </w:style>
  <w:style w:type="character" w:styleId="WW8Num7z0">
    <w:name w:val="WW8Num7z0"/>
    <w:qFormat/>
    <w:rPr>
      <w:sz w:val="24"/>
    </w:rPr>
  </w:style>
  <w:style w:type="character" w:styleId="WW8Num7z1">
    <w:name w:val="WW8Num7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sz w:val="24"/>
    </w:rPr>
  </w:style>
  <w:style w:type="character" w:styleId="WW8Num8z1">
    <w:name w:val="WW8Num8z1"/>
    <w:qFormat/>
    <w:rPr/>
  </w:style>
  <w:style w:type="character" w:styleId="WW8Num9z0">
    <w:name w:val="WW8Num9z0"/>
    <w:qFormat/>
    <w:rPr>
      <w:rFonts w:ascii="Times New Roman" w:hAnsi="Times New Roman" w:cs="Times New Roman"/>
      <w:b/>
      <w:sz w:val="24"/>
    </w:rPr>
  </w:style>
  <w:style w:type="character" w:styleId="WW8Num10z0">
    <w:name w:val="WW8Num10z0"/>
    <w:qFormat/>
    <w:rPr>
      <w:rFonts w:ascii="Times New Roman" w:hAnsi="Times New Roman" w:cs="Times New Roman"/>
      <w:b/>
      <w:sz w:val="16"/>
      <w:szCs w:val="16"/>
    </w:rPr>
  </w:style>
  <w:style w:type="character" w:styleId="WW8Num10z1">
    <w:name w:val="WW8Num10z1"/>
    <w:qFormat/>
    <w:rPr>
      <w:b/>
    </w:rPr>
  </w:style>
  <w:style w:type="character" w:styleId="WW8Num10z2">
    <w:name w:val="WW8Num10z2"/>
    <w:qFormat/>
    <w:rPr/>
  </w:style>
  <w:style w:type="character" w:styleId="WW8Num11z0">
    <w:name w:val="WW8Num11z0"/>
    <w:qFormat/>
    <w:rPr>
      <w:rFonts w:ascii="Times New Roman" w:hAnsi="Times New Roman" w:cs="Times New Roman"/>
      <w:b w:val="false"/>
      <w:sz w:val="24"/>
      <w:szCs w:val="24"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sz w:val="22"/>
      <w:szCs w:val="22"/>
    </w:rPr>
  </w:style>
  <w:style w:type="character" w:styleId="Style16">
    <w:name w:val="Нижний колонтитул Знак"/>
    <w:qFormat/>
    <w:rPr>
      <w:sz w:val="22"/>
      <w:szCs w:val="22"/>
    </w:rPr>
  </w:style>
  <w:style w:type="character" w:styleId="Hyperlink">
    <w:name w:val="Hyperlink"/>
    <w:rPr>
      <w:color w:val="0000FF"/>
      <w:u w:val="single"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8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Style19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Style20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2019-03-26T06:05:00Z</dcterms:created>
  <dc:creator>paggard</dc:creator>
  <dc:description/>
  <cp:keywords/>
  <dc:language>en-US</dc:language>
  <cp:lastModifiedBy>Борис Шкилев</cp:lastModifiedBy>
  <cp:lastPrinted>2023-01-31T09:54:00Z</cp:lastPrinted>
  <dcterms:modified xsi:type="dcterms:W3CDTF">2025-12-15T04:54:00Z</dcterms:modified>
  <cp:revision>126</cp:revision>
  <dc:subject/>
  <dc:title>Paggard</dc:title>
</cp:coreProperties>
</file>