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outlineLvl w:val="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рассмотрения заявки на участие в к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онкурсе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2/</w:t>
      </w:r>
      <w:r>
        <w:rPr>
          <w:rFonts w:ascii="Times New Roman" w:hAnsi="Times New Roman"/>
          <w:b/>
          <w:bCs/>
          <w:sz w:val="24"/>
          <w:szCs w:val="24"/>
        </w:rPr>
        <w:t xml:space="preserve">3669027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16"/>
          <w:szCs w:val="16"/>
        </w:rPr>
        <w:outlineLvl w:val="0"/>
      </w:pPr>
      <w:r>
        <w:rPr>
          <w:rFonts w:ascii="Times New Roman" w:hAnsi="Times New Roman" w:cs="Times New Roman"/>
          <w:b/>
          <w:sz w:val="16"/>
          <w:szCs w:val="16"/>
        </w:rPr>
      </w:r>
      <w:r>
        <w:rPr>
          <w:rFonts w:ascii="Times New Roman" w:hAnsi="Times New Roman" w:cs="Times New Roman"/>
          <w:b/>
          <w:sz w:val="16"/>
          <w:szCs w:val="16"/>
        </w:rPr>
      </w:r>
      <w:r>
        <w:rPr>
          <w:rFonts w:ascii="Times New Roman" w:hAnsi="Times New Roman" w:cs="Times New Roman"/>
          <w:b/>
          <w:sz w:val="16"/>
          <w:szCs w:val="16"/>
        </w:rPr>
      </w:r>
    </w:p>
    <w:tbl>
      <w:tblPr>
        <w:tblStyle w:val="917"/>
        <w:tblW w:w="1007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677"/>
        <w:gridCol w:w="5402"/>
      </w:tblGrid>
      <w:tr>
        <w:tblPrEx/>
        <w:trPr>
          <w:trHeight w:val="25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ind w:left="284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outlineLvl w:val="1"/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Место публикации: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в соответствии с Документацией о закупке.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r>
          </w:p>
          <w:p>
            <w:pPr>
              <w:ind w:left="284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  <w:outlineLvl w:val="1"/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2" w:type="dxa"/>
            <w:textDirection w:val="lrTb"/>
            <w:noWrap w:val="false"/>
          </w:tcPr>
          <w:p>
            <w:pPr>
              <w:ind w:left="284"/>
              <w:jc w:val="right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Дата оформления протокола: 11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zh-CN" w:bidi="hi-IN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2.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2025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eastAsia="zh-CN" w:bidi="hi-IN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eastAsia="zh-CN" w:bidi="hi-IN"/>
              </w:rPr>
            </w:r>
          </w:p>
          <w:p>
            <w:pPr>
              <w:ind w:left="284"/>
              <w:jc w:val="right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eastAsia="zh-CN" w:bidi="hi-IN"/>
              </w:rPr>
              <w:t xml:space="preserve">Дата подписания протокола: 15.12.2025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eastAsia="zh-CN" w:bidi="hi-IN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r>
          </w:p>
          <w:p>
            <w:pPr>
              <w:ind w:left="284"/>
              <w:jc w:val="right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АО 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Россети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Центр закупок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".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Заказчик(и),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заключающие договор: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в соответствии с Документацией о закупке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Контактное лицо: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Вележева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Н.В.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n.velezheva@rosseti-zakupki.ru тел.: +7 (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800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200-18-81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доб. 30-20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за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куп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раво заключения договора поставки ГС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М на территории Томской области для нужд Кузбасского ПМЭС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Номер лота: 1.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ан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ие предм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ета договора: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поставка ГС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М на территории Томской области для нужд Кузбасского ПМЭС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Сведения о сроке исполнения договора: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Сведения об объемах закупаемых товаров, работ, услуг: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c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12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11.2025 по 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04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.1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2.2025.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12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eastAsia="zh-CN" w:bidi="hi-IN"/>
        </w:rPr>
        <w:t xml:space="preserve">11.2025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Дата рассмотрения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з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аявок: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Место рассмотрения заявок: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Номер в ЕИС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32515394949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  <w14:ligatures w14:val="none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2" w:leader="none"/>
          <w:tab w:val="num" w:pos="-426" w:leader="none"/>
          <w:tab w:val="num" w:pos="0" w:leader="none"/>
          <w:tab w:val="left" w:pos="142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Классификация товаров, работ, услуг.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</w:p>
    <w:tbl>
      <w:tblPr>
        <w:tblW w:w="9921" w:type="dxa"/>
        <w:tblInd w:w="28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4394"/>
        <w:gridCol w:w="2694"/>
        <w:gridCol w:w="2833"/>
      </w:tblGrid>
      <w:tr>
        <w:tblPrEx/>
        <w:trPr>
          <w:trHeight w:val="489"/>
        </w:trPr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Код ОКПД 2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Код ОКВЭД 2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3" w:type="dxa"/>
            <w:vAlign w:val="center"/>
            <w:textDirection w:val="lrTb"/>
            <w:noWrap w:val="false"/>
          </w:tcPr>
          <w:p>
            <w:pPr>
              <w:ind w:left="-21"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Количество (ед. измерения)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blPrEx/>
        <w:trPr>
          <w:trHeight w:val="716"/>
        </w:trPr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284" w:right="114"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 xml:space="preserve">19.20.21.100 - Бензин автомобильный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ind w:left="284" w:right="114"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 xml:space="preserve">19.20 - Производство нефтепродуктов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3" w:type="dxa"/>
            <w:vAlign w:val="center"/>
            <w:textDirection w:val="lrTb"/>
            <w:noWrap w:val="false"/>
          </w:tcPr>
          <w:p>
            <w:pPr>
              <w:ind w:left="284" w:right="114"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 xml:space="preserve">-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  <w14:ligatures w14:val="none"/>
              </w:rPr>
            </w:r>
          </w:p>
        </w:tc>
      </w:tr>
    </w:tbl>
    <w:p>
      <w:pPr>
        <w:pStyle w:val="916"/>
        <w:numPr>
          <w:ilvl w:val="0"/>
          <w:numId w:val="2"/>
        </w:numPr>
        <w:ind w:left="0" w:firstLine="0"/>
        <w:jc w:val="both"/>
        <w:keepLines/>
        <w:spacing w:after="0" w:line="240" w:lineRule="auto"/>
        <w:widowControl w:val="off"/>
        <w:tabs>
          <w:tab w:val="clear" w:pos="360" w:leader="none"/>
          <w:tab w:val="num" w:pos="709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Максимальное значение цены договора с НДС составляет 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8 9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10 701,68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руб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r>
    </w:p>
    <w:p>
      <w:pPr>
        <w:pStyle w:val="916"/>
        <w:numPr>
          <w:ilvl w:val="0"/>
          <w:numId w:val="2"/>
        </w:numPr>
        <w:ind w:left="0" w:firstLine="0"/>
        <w:jc w:val="both"/>
        <w:keepLines/>
        <w:spacing w:after="0" w:line="240" w:lineRule="auto"/>
        <w:widowControl w:val="off"/>
        <w:tabs>
          <w:tab w:val="clear" w:pos="360" w:leader="none"/>
          <w:tab w:val="num" w:pos="709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Срок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выполнения пос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тавок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: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с 01.01.2026 по 31.12.2026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r>
    </w:p>
    <w:p>
      <w:pPr>
        <w:pStyle w:val="916"/>
        <w:numPr>
          <w:ilvl w:val="0"/>
          <w:numId w:val="2"/>
        </w:numPr>
        <w:ind w:left="0" w:firstLine="0"/>
        <w:jc w:val="both"/>
        <w:keepLines/>
        <w:spacing w:after="0" w:line="240" w:lineRule="auto"/>
        <w:widowControl w:val="off"/>
        <w:tabs>
          <w:tab w:val="clear" w:pos="360" w:leader="none"/>
          <w:tab w:val="num" w:pos="709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На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момент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окон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чания срока подачи з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аявок на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участие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в конкурсе была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подан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а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1 (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о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дна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)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заявк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: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tbl>
      <w:tblPr>
        <w:tblW w:w="4972" w:type="pct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850"/>
        <w:gridCol w:w="887"/>
        <w:gridCol w:w="1041"/>
        <w:gridCol w:w="1340"/>
        <w:gridCol w:w="2969"/>
      </w:tblGrid>
      <w:tr>
        <w:tblPrEx/>
        <w:trPr>
          <w:trHeight w:val="245"/>
          <w:tblHeader/>
        </w:trPr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 участника закупки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Цена заявки участника, руб.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Информация из письма о  подаче оферты Участника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Описание предложенных в заявке работ (услуг), согласно техническому предложению, на ЭП «РТС Тендер»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blPrEx/>
        <w:trPr>
          <w:trHeight w:val="42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без НДС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 НДС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1" w:type="dxa"/>
            <w:textDirection w:val="lrTb"/>
            <w:noWrap w:val="false"/>
          </w:tcPr>
          <w:p>
            <w:pPr>
              <w:ind w:right="-114"/>
              <w:jc w:val="center"/>
              <w:spacing w:after="0" w:line="240" w:lineRule="auto"/>
              <w:rPr>
                <w:rFonts w:ascii="Times New Roman" w:hAnsi="Times New Roman" w:eastAsia="Calibri"/>
                <w:sz w:val="18"/>
                <w:szCs w:val="18"/>
              </w:rPr>
            </w:pPr>
            <w:r>
              <w:rPr>
                <w:rFonts w:ascii="Times New Roman" w:hAnsi="Times New Roman" w:eastAsia="Calibri"/>
                <w:b/>
                <w:bCs/>
                <w:sz w:val="18"/>
                <w:szCs w:val="18"/>
              </w:rPr>
              <w:t xml:space="preserve">размер скидки (%скидки)</w:t>
            </w:r>
            <w:r>
              <w:rPr>
                <w:rFonts w:ascii="Times New Roman" w:hAnsi="Times New Roman" w:eastAsia="Calibri"/>
                <w:sz w:val="18"/>
                <w:szCs w:val="18"/>
              </w:rPr>
            </w:r>
            <w:r>
              <w:rPr>
                <w:rFonts w:ascii="Times New Roman" w:hAnsi="Times New Roman" w:eastAsia="Calibri"/>
                <w:sz w:val="18"/>
                <w:szCs w:val="18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/>
                <w:sz w:val="18"/>
                <w:szCs w:val="18"/>
              </w:rPr>
            </w:pPr>
            <w:r>
              <w:rPr>
                <w:rFonts w:ascii="Times New Roman" w:hAnsi="Times New Roman" w:eastAsia="Calibri"/>
                <w:b/>
                <w:bCs/>
                <w:sz w:val="18"/>
                <w:szCs w:val="18"/>
              </w:rPr>
              <w:t xml:space="preserve">размер сервисных услуг (%</w:t>
            </w:r>
            <w:r>
              <w:rPr>
                <w:rFonts w:ascii="Times New Roman" w:hAnsi="Times New Roman" w:eastAsia="Calibri"/>
                <w:b/>
                <w:bCs/>
                <w:sz w:val="18"/>
                <w:szCs w:val="18"/>
              </w:rPr>
              <w:t xml:space="preserve">с</w:t>
            </w:r>
            <w:r>
              <w:rPr>
                <w:rFonts w:ascii="Times New Roman" w:hAnsi="Times New Roman" w:eastAsia="Calibri"/>
                <w:b/>
                <w:bCs/>
                <w:sz w:val="18"/>
                <w:szCs w:val="18"/>
              </w:rPr>
              <w:t xml:space="preserve">.у</w:t>
            </w:r>
            <w:r>
              <w:rPr>
                <w:rFonts w:ascii="Times New Roman" w:hAnsi="Times New Roman" w:eastAsia="Calibri"/>
                <w:b/>
                <w:bCs/>
                <w:sz w:val="18"/>
                <w:szCs w:val="18"/>
              </w:rPr>
              <w:t xml:space="preserve">слуг</w:t>
            </w:r>
            <w:r>
              <w:rPr>
                <w:rFonts w:ascii="Times New Roman" w:hAnsi="Times New Roman" w:eastAsia="Calibri"/>
                <w:b/>
                <w:bCs/>
                <w:sz w:val="18"/>
                <w:szCs w:val="18"/>
              </w:rPr>
              <w:t xml:space="preserve">)</w:t>
            </w:r>
            <w:r>
              <w:rPr>
                <w:rFonts w:ascii="Times New Roman" w:hAnsi="Times New Roman" w:eastAsia="Calibri"/>
                <w:sz w:val="18"/>
                <w:szCs w:val="18"/>
              </w:rPr>
            </w:r>
            <w:r>
              <w:rPr>
                <w:rFonts w:ascii="Times New Roman" w:hAnsi="Times New Roman" w:eastAsia="Calibri"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blPrEx/>
        <w:trPr>
          <w:trHeight w:val="112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  <w:t xml:space="preserve">01.12.2025 05:40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(МСК)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  <w:t xml:space="preserve">ООО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"РН-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КАРТ"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  <w:t xml:space="preserve">112,32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7" w:type="dxa"/>
            <w:vAlign w:val="center"/>
            <w:textDirection w:val="lrTb"/>
            <w:noWrap w:val="false"/>
          </w:tcPr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134,78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(1,0000; 0,00%)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1" w:type="dxa"/>
            <w:vAlign w:val="center"/>
            <w:textDirection w:val="lrTb"/>
            <w:noWrap w:val="false"/>
          </w:tcPr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0,00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0" w:type="dxa"/>
            <w:vAlign w:val="center"/>
            <w:textDirection w:val="lrTb"/>
            <w:noWrap w:val="false"/>
          </w:tcPr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0,00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69" w:type="dxa"/>
            <w:vAlign w:val="center"/>
            <w:textDirection w:val="lrTb"/>
            <w:noWrap w:val="false"/>
          </w:tcPr>
          <w:p>
            <w:pPr>
              <w:ind w:left="-103" w:right="-114"/>
              <w:jc w:val="center"/>
              <w:spacing w:after="0" w:line="240" w:lineRule="auto"/>
              <w:rPr>
                <w:rFonts w:ascii="Times New Roman" w:hAnsi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hi-IN"/>
              </w:rPr>
            </w:r>
            <w:r>
              <w:rPr>
                <w:rFonts w:ascii="Times New Roman" w:hAnsi="Times New Roman"/>
                <w:sz w:val="20"/>
                <w:szCs w:val="20"/>
                <w:lang w:eastAsia="zh-CN" w:bidi="hi-IN"/>
              </w:rPr>
              <w:t xml:space="preserve">поставка ГС</w:t>
            </w:r>
            <w:r>
              <w:rPr>
                <w:rFonts w:ascii="Times New Roman" w:hAnsi="Times New Roman"/>
                <w:sz w:val="20"/>
                <w:szCs w:val="20"/>
                <w:lang w:eastAsia="zh-CN" w:bidi="hi-IN"/>
              </w:rPr>
              <w:t xml:space="preserve">М на территории Томской области для нужд Кузбасского ПМЭС</w:t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/>
                <w:sz w:val="20"/>
                <w:szCs w:val="20"/>
                <w14:ligatures w14:val="none"/>
              </w:rPr>
            </w:r>
          </w:p>
        </w:tc>
      </w:tr>
    </w:tbl>
    <w:p>
      <w:pPr>
        <w:jc w:val="both"/>
        <w:spacing w:after="0" w:line="240" w:lineRule="auto"/>
        <w:tabs>
          <w:tab w:val="left" w:pos="-567" w:leader="none"/>
        </w:tabs>
        <w:rPr>
          <w:rFonts w:ascii="Times New Roman" w:hAnsi="Times New Roman" w:cs="Times New Roman" w:eastAsiaTheme="minorEastAsia"/>
          <w:sz w:val="20"/>
          <w:szCs w:val="20"/>
          <w:lang w:eastAsia="ru-RU"/>
        </w:rPr>
      </w:pPr>
      <w:r>
        <w:rPr>
          <w:rFonts w:ascii="Times New Roman" w:hAnsi="Times New Roman" w:cs="Times New Roman" w:eastAsiaTheme="minorEastAsia"/>
          <w:sz w:val="20"/>
          <w:szCs w:val="20"/>
          <w:lang w:eastAsia="ru-RU"/>
        </w:rPr>
      </w:r>
      <w:r>
        <w:rPr>
          <w:rFonts w:ascii="Times New Roman" w:hAnsi="Times New Roman" w:cs="Times New Roman" w:eastAsiaTheme="minorEastAsia"/>
          <w:sz w:val="20"/>
          <w:szCs w:val="20"/>
          <w:lang w:eastAsia="ru-RU"/>
        </w:rPr>
      </w:r>
      <w:r>
        <w:rPr>
          <w:rFonts w:ascii="Times New Roman" w:hAnsi="Times New Roman" w:cs="Times New Roman" w:eastAsiaTheme="minorEastAsia"/>
          <w:sz w:val="20"/>
          <w:szCs w:val="20"/>
          <w:lang w:eastAsia="ru-RU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7" w:leader="none"/>
          <w:tab w:val="num" w:pos="0" w:leader="none"/>
          <w:tab w:val="clear" w:pos="360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Закупочная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Комиссия рассмотрела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заявк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у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, поданн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ую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на участие в закупке и приняла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решение: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tbl>
      <w:tblPr>
        <w:tblW w:w="4972" w:type="pct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3499"/>
        <w:gridCol w:w="3755"/>
        <w:gridCol w:w="2667"/>
      </w:tblGrid>
      <w:tr>
        <w:tblPrEx/>
        <w:trPr>
          <w:trHeight w:val="113"/>
          <w:tblHeader/>
        </w:trPr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63" w:type="pct"/>
            <w:vAlign w:val="center"/>
            <w:textDirection w:val="lrTb"/>
            <w:noWrap w:val="false"/>
          </w:tcPr>
          <w:p>
            <w:pPr>
              <w:ind w:left="-30"/>
              <w:jc w:val="center"/>
              <w:spacing w:after="0" w:line="240" w:lineRule="auto"/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  <w:t xml:space="preserve">Наименование</w:t>
            </w:r>
            <w:r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r>
          </w:p>
          <w:p>
            <w:pPr>
              <w:ind w:left="-30"/>
              <w:jc w:val="center"/>
              <w:spacing w:after="0" w:line="240" w:lineRule="auto"/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  <w:t xml:space="preserve">участника закупки</w:t>
            </w:r>
            <w:r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2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color w:val="000000"/>
                <w:sz w:val="20"/>
                <w:szCs w:val="20"/>
                <w:lang w:eastAsia="ru-RU"/>
              </w:rPr>
              <w:t xml:space="preserve">Решение о соответствии или несоответствии заявки на участие требованиям</w:t>
            </w:r>
            <w:r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cs="Times New Roman" w:eastAsiaTheme="minorEastAsia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" w:type="pct"/>
            <w:vAlign w:val="center"/>
            <w:textDirection w:val="lrTb"/>
            <w:noWrap w:val="false"/>
          </w:tcPr>
          <w:p>
            <w:pPr>
              <w:ind w:left="-44"/>
              <w:jc w:val="center"/>
              <w:spacing w:after="0" w:line="240" w:lineRule="auto"/>
              <w:rPr>
                <w:rFonts w:ascii="Times New Roman" w:hAnsi="Times New Roman" w:cs="Times New Roman" w:eastAsiaTheme="minorEastAsi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color w:val="000000"/>
                <w:sz w:val="20"/>
                <w:szCs w:val="20"/>
                <w:lang w:eastAsia="ru-RU"/>
              </w:rPr>
              <w:t xml:space="preserve">Обоснование решения</w:t>
            </w:r>
            <w:r>
              <w:rPr>
                <w:rFonts w:ascii="Times New Roman" w:hAnsi="Times New Roman" w:cs="Times New Roman" w:eastAsiaTheme="minorEastAsia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cs="Times New Roman" w:eastAsiaTheme="minorEastAsia"/>
                <w:b/>
                <w:bCs/>
                <w:color w:val="000000"/>
                <w:sz w:val="20"/>
                <w:szCs w:val="20"/>
                <w:lang w:eastAsia="ru-RU"/>
              </w:rPr>
            </w:r>
          </w:p>
          <w:p>
            <w:pPr>
              <w:ind w:left="-44"/>
              <w:jc w:val="center"/>
              <w:spacing w:after="0" w:line="240" w:lineRule="auto"/>
              <w:rPr>
                <w:rFonts w:ascii="Times New Roman" w:hAnsi="Times New Roman" w:cs="Times New Roman" w:eastAsiaTheme="minorEastAsia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20"/>
                <w:szCs w:val="20"/>
                <w:lang w:eastAsia="ru-RU"/>
              </w:rPr>
              <w:t xml:space="preserve">(в случае принятия решения о несоответствии заявки на участие)</w:t>
            </w:r>
            <w:r>
              <w:rPr>
                <w:rFonts w:ascii="Times New Roman" w:hAnsi="Times New Roman" w:cs="Times New Roman" w:eastAsiaTheme="minorEastAsia"/>
                <w:b/>
                <w:bCs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cs="Times New Roman" w:eastAsiaTheme="minorEastAsia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7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63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 xml:space="preserve">Участник №1</w:t>
            </w:r>
            <w:r>
              <w:rPr>
                <w:rFonts w:ascii="Times New Roman" w:hAnsi="Times New Roman" w:cs="Times New Roman"/>
                <w14:ligatures w14:val="none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ООО </w:t>
            </w:r>
            <w:r>
              <w:rPr>
                <w:rFonts w:ascii="Times New Roman" w:hAnsi="Times New Roman" w:cs="Times New Roman"/>
              </w:rPr>
              <w:t xml:space="preserve">"РН-</w:t>
            </w:r>
            <w:r>
              <w:rPr>
                <w:rFonts w:ascii="Times New Roman" w:hAnsi="Times New Roman" w:cs="Times New Roman"/>
              </w:rPr>
              <w:t xml:space="preserve">КАРТ"</w:t>
            </w:r>
            <w:r>
              <w:rPr>
                <w:rFonts w:ascii="Times New Roman" w:hAnsi="Times New Roman" w:cs="Times New Roman"/>
                <w14:ligatures w14:val="none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92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 xml:space="preserve">Соответствует требованиям Документации о закупке, допустить к дальнейшему рассмотрению</w:t>
            </w:r>
            <w:r>
              <w:rPr>
                <w:rFonts w:ascii="Times New Roman" w:hAnsi="Times New Roman" w:cs="Times New Roman"/>
                <w14:ligatures w14:val="none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" w:type="pct"/>
            <w:vAlign w:val="center"/>
            <w:textDirection w:val="lrTb"/>
            <w:noWrap w:val="false"/>
          </w:tcPr>
          <w:p>
            <w:pPr>
              <w:ind w:left="284"/>
              <w:jc w:val="center"/>
              <w:spacing w:after="0" w:line="240" w:lineRule="auto"/>
              <w:tabs>
                <w:tab w:val="left" w:pos="398" w:leader="none"/>
              </w:tabs>
              <w:rPr>
                <w:rFonts w:ascii="Times New Roman" w:hAnsi="Times New Roman" w:cs="Times New Roman" w:eastAsiaTheme="minorEastAsia"/>
                <w:bCs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Cs/>
                <w:lang w:eastAsia="ru-RU"/>
              </w:rPr>
              <w:t xml:space="preserve">-</w:t>
            </w:r>
            <w:r>
              <w:rPr>
                <w:rFonts w:ascii="Times New Roman" w:hAnsi="Times New Roman" w:cs="Times New Roman" w:eastAsiaTheme="minorEastAsia"/>
                <w:bCs/>
                <w:lang w:eastAsia="ru-RU"/>
              </w:rPr>
            </w:r>
            <w:r>
              <w:rPr>
                <w:rFonts w:ascii="Times New Roman" w:hAnsi="Times New Roman" w:cs="Times New Roman" w:eastAsiaTheme="minorEastAsia"/>
                <w:bCs/>
                <w:lang w:eastAsia="ru-RU"/>
              </w:rPr>
            </w:r>
          </w:p>
        </w:tc>
      </w:tr>
    </w:tbl>
    <w:p>
      <w:p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6"/>
        <w:numPr>
          <w:ilvl w:val="0"/>
          <w:numId w:val="2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подана только одна заявка, на основании </w:t>
      </w:r>
      <w:r>
        <w:rPr>
          <w:rFonts w:ascii="Times New Roman" w:hAnsi="Times New Roman" w:cs="Times New Roman"/>
          <w:sz w:val="24"/>
          <w:szCs w:val="24"/>
        </w:rPr>
        <w:t xml:space="preserve">пп</w:t>
      </w:r>
      <w:r>
        <w:rPr>
          <w:rFonts w:ascii="Times New Roman" w:hAnsi="Times New Roman" w:cs="Times New Roman"/>
          <w:sz w:val="24"/>
          <w:szCs w:val="24"/>
        </w:rPr>
        <w:t xml:space="preserve">. а) п.7.5.1. </w:t>
      </w:r>
      <w:r>
        <w:rPr>
          <w:rFonts w:ascii="Times New Roman" w:hAnsi="Times New Roman" w:cs="Times New Roman"/>
          <w:sz w:val="24"/>
          <w:szCs w:val="24"/>
        </w:rPr>
        <w:t xml:space="preserve">Единого стандарта закупок Публичного акционерного общества «Федеральная сетевая компания – </w:t>
      </w:r>
      <w:r>
        <w:rPr>
          <w:rFonts w:ascii="Times New Roman" w:hAnsi="Times New Roman" w:cs="Times New Roman"/>
          <w:sz w:val="24"/>
          <w:szCs w:val="24"/>
        </w:rPr>
        <w:t xml:space="preserve">Россети</w:t>
      </w:r>
      <w:r>
        <w:rPr>
          <w:rFonts w:ascii="Times New Roman" w:hAnsi="Times New Roman" w:cs="Times New Roman"/>
          <w:sz w:val="24"/>
          <w:szCs w:val="24"/>
        </w:rPr>
        <w:t xml:space="preserve">» (Положение о закупке)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конкурс</w:t>
      </w:r>
      <w:r>
        <w:rPr>
          <w:rFonts w:ascii="Times New Roman" w:hAnsi="Times New Roman" w:cs="Times New Roman"/>
          <w:sz w:val="24"/>
          <w:szCs w:val="24"/>
        </w:rPr>
        <w:t xml:space="preserve"> признается несостоявшимся.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п. 5.4.9., 5.4.9.1., 5.4.9.2. Документации о закупке, при проведении процедуры понижения цены (переторжки) установить: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4"/>
        </w:numPr>
        <w:ind w:left="0" w:firstLine="0"/>
        <w:jc w:val="both"/>
        <w:spacing w:after="0" w:line="240" w:lineRule="auto"/>
        <w:tabs>
          <w:tab w:val="num" w:pos="-426" w:leader="none"/>
          <w:tab w:val="num" w:pos="0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Форма проведения процедуры переторжки – очная с использованием функционала «РТС-Тендер».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numPr>
          <w:ilvl w:val="0"/>
          <w:numId w:val="4"/>
        </w:numPr>
        <w:ind w:left="0" w:firstLine="0"/>
        <w:jc w:val="both"/>
        <w:spacing w:after="0" w:line="240" w:lineRule="auto"/>
        <w:tabs>
          <w:tab w:val="num" w:pos="-426" w:leader="none"/>
          <w:tab w:val="num" w:pos="0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дата и время пров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едения процедуры переторжки –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«16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»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декабря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2025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в 13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-00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(время московское).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</w:t>
      </w:r>
      <w:bookmarkStart w:id="0" w:name="_GoBack"/>
      <w:r/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firstLine="0"/>
        <w:jc w:val="both"/>
        <w:spacing w:after="0" w:line="240" w:lineRule="auto"/>
        <w:tabs>
          <w:tab w:val="left" w:pos="-567" w:leader="none"/>
          <w:tab w:val="num" w:pos="0" w:leader="none"/>
          <w:tab w:val="clear" w:pos="360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Заказчику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: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21.1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В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с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оответствии с п. 7.5.3. Единого стандарта закупок ПАО «Федеральная сетевая компания –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Россети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» (Положение о закупке) – (далее – Стандарт), определить необходимость заключения  </w:t>
      </w:r>
      <w:r>
        <w:rPr>
          <w:rFonts w:ascii="Times New Roman" w:hAnsi="Times New Roman" w:cs="Times New Roman" w:eastAsiaTheme="minorEastAsia"/>
          <w:sz w:val="24"/>
          <w:szCs w:val="24"/>
          <w:lang w:eastAsia="ru-RU" w:bidi="hi-IN"/>
        </w:rPr>
        <w:t xml:space="preserve">договора поставки ГС</w:t>
      </w:r>
      <w:r>
        <w:rPr>
          <w:rFonts w:ascii="Times New Roman" w:hAnsi="Times New Roman" w:cs="Times New Roman" w:eastAsiaTheme="minorEastAsia"/>
          <w:sz w:val="24"/>
          <w:szCs w:val="24"/>
          <w:lang w:eastAsia="ru-RU" w:bidi="hi-IN"/>
        </w:rPr>
        <w:t xml:space="preserve">М на территории Томской области для нужд Кузбасского ПМЭС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с Участником №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1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ООО "РН-Карт"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с учетом выполнения п. 7.5.6. Стандарта, либо проведения повторной закупочной процедуры согласно п. 7.5.4. Стандарта.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r>
    </w:p>
    <w:p>
      <w:pPr>
        <w:pStyle w:val="916"/>
        <w:ind w:left="0"/>
        <w:jc w:val="both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21.2.  </w:t>
      </w:r>
      <w:r>
        <w:rPr>
          <w:rFonts w:ascii="Times New Roman" w:hAnsi="Times New Roman" w:cs="Times New Roman"/>
          <w:sz w:val="24"/>
          <w:szCs w:val="24"/>
        </w:rPr>
        <w:t xml:space="preserve">Направить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информацию о принятом решении в адрес АО «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Россети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Центр закупок» не позднее 10 календарных дней с момента подписания настоящего протокола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6"/>
        <w:ind w:left="0"/>
        <w:jc w:val="both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952"/>
        <w:gridCol w:w="2268"/>
        <w:gridCol w:w="4184"/>
      </w:tblGrid>
      <w:tr>
        <w:tblPrEx/>
        <w:trPr>
          <w:cantSplit/>
          <w:trHeight w:val="125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widowControl w:val="off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  <w:t xml:space="preserve">Председатель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</w:p>
          <w:p>
            <w:pPr>
              <w:spacing w:after="0" w:line="240" w:lineRule="auto"/>
              <w:widowControl w:val="off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  <w:t xml:space="preserve">Закупочной  комиссии: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Марцинкевич К.Л.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84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Заместитель Генерального директора по экономике и финансам филиала ПАО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» 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МЭС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Сибири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</w:tr>
      <w:tr>
        <w:tblPrEx/>
        <w:trPr>
          <w:cantSplit/>
          <w:trHeight w:val="118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widowControl w:val="off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  <w:t xml:space="preserve">Секретарь 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</w:p>
          <w:p>
            <w:pPr>
              <w:spacing w:after="0" w:line="240" w:lineRule="auto"/>
              <w:widowControl w:val="off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  <w:t xml:space="preserve">Закупочной комиссии (без права голоса):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Филиппова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Е.А.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84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9900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Главный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эксперт 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руководитель направления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проведения закупочных процедур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(филиал и ДО)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АО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Центр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закупок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</w:tr>
    </w:tbl>
    <w:p>
      <w:pPr>
        <w:ind w:left="284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851" w:right="851" w:bottom="851" w:left="1134" w:header="0" w:footer="312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urier New">
    <w:panose1 w:val="02070309020205020404"/>
  </w:font>
  <w:font w:name="Symbol">
    <w:panose1 w:val="05010000000000000000"/>
  </w:font>
  <w:font w:name="Times New Roman CYR">
    <w:panose1 w:val="02020603050405020304"/>
  </w:font>
  <w:font w:name="Wingdings">
    <w:panose1 w:val="05010000000000000000"/>
  </w:font>
  <w:font w:name="Liberation Sans">
    <w:panose1 w:val="020B0604020202020204"/>
  </w:font>
  <w:font w:name="Tahoma">
    <w:panose1 w:val="020B0604030504040204"/>
  </w:font>
  <w:font w:name="Microsoft YaHei">
    <w:panose1 w:val="020B0503020203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jc w:val="center"/>
      <w:tabs>
        <w:tab w:val="clear" w:pos="4677" w:leader="none"/>
        <w:tab w:val="clear" w:pos="9355" w:leader="none"/>
      </w:tabs>
      <w:rPr>
        <w:rFonts w:ascii="Times New Roman" w:hAnsi="Times New Roman"/>
        <w:b w:val="0"/>
        <w:bCs w:val="0"/>
        <w:sz w:val="20"/>
        <w:szCs w:val="20"/>
        <w14:ligatures w14:val="none"/>
      </w:rPr>
    </w:pPr>
    <w:r>
      <w:rPr>
        <w:rFonts w:ascii="Times New Roman" w:hAnsi="Times New Roman"/>
        <w:b w:val="0"/>
        <w:bCs w:val="0"/>
        <w:sz w:val="20"/>
        <w:szCs w:val="20"/>
      </w:rPr>
      <w:t xml:space="preserve">Протокол рассмотрения заяв</w:t>
    </w:r>
    <w:r>
      <w:rPr>
        <w:rFonts w:ascii="Times New Roman" w:hAnsi="Times New Roman"/>
        <w:b w:val="0"/>
        <w:bCs w:val="0"/>
        <w:sz w:val="20"/>
        <w:szCs w:val="20"/>
      </w:rPr>
      <w:t xml:space="preserve">ки на участие в конкурсе</w:t>
    </w:r>
    <w:r>
      <w:rPr>
        <w:rFonts w:ascii="Times New Roman" w:hAnsi="Times New Roman"/>
        <w:b w:val="0"/>
        <w:bCs w:val="0"/>
        <w:sz w:val="20"/>
        <w:szCs w:val="20"/>
      </w:rPr>
      <w:t xml:space="preserve"> </w:t>
    </w:r>
    <w:r>
      <w:rPr>
        <w:rFonts w:ascii="Times New Roman" w:hAnsi="Times New Roman"/>
        <w:b w:val="0"/>
        <w:bCs w:val="0"/>
        <w:sz w:val="20"/>
        <w:szCs w:val="20"/>
      </w:rPr>
      <w:t xml:space="preserve">№ </w:t>
    </w:r>
    <w:r>
      <w:rPr>
        <w:rFonts w:ascii="Times New Roman" w:hAnsi="Times New Roman"/>
        <w:b w:val="0"/>
        <w:bCs w:val="0"/>
        <w:sz w:val="20"/>
        <w:szCs w:val="20"/>
      </w:rPr>
      <w:t xml:space="preserve">2/</w:t>
    </w:r>
    <w:r>
      <w:rPr>
        <w:rFonts w:ascii="Times New Roman" w:hAnsi="Times New Roman"/>
        <w:b w:val="0"/>
        <w:bCs w:val="0"/>
        <w:sz w:val="20"/>
        <w:szCs w:val="20"/>
      </w:rPr>
      <w:t xml:space="preserve">3669027</w:t>
    </w:r>
    <w:r>
      <w:rPr>
        <w:rFonts w:ascii="Times New Roman" w:hAnsi="Times New Roman"/>
        <w:b w:val="0"/>
        <w:bCs w:val="0"/>
        <w:sz w:val="20"/>
        <w:szCs w:val="20"/>
        <w14:ligatures w14:val="none"/>
      </w:rPr>
    </w:r>
    <w:r>
      <w:rPr>
        <w:rFonts w:ascii="Times New Roman" w:hAnsi="Times New Roman"/>
        <w:b w:val="0"/>
        <w:bCs w:val="0"/>
        <w:sz w:val="20"/>
        <w:szCs w:val="20"/>
        <w14:ligatures w14:val="none"/>
      </w:rPr>
    </w:r>
  </w:p>
  <w:p>
    <w:pPr>
      <w:pStyle w:val="920"/>
      <w:jc w:val="center"/>
      <w:tabs>
        <w:tab w:val="clear" w:pos="4677" w:leader="none"/>
        <w:tab w:val="clear" w:pos="9355" w:leader="none"/>
      </w:tabs>
      <w:rPr>
        <w:rFonts w:ascii="Times New Roman" w:hAnsi="Times New Roman"/>
        <w:b w:val="0"/>
        <w:bCs w:val="0"/>
        <w:sz w:val="20"/>
        <w:szCs w:val="20"/>
        <w14:ligatures w14:val="none"/>
      </w:rPr>
    </w:pPr>
    <w:r>
      <w:rPr>
        <w:rFonts w:ascii="Times New Roman" w:hAnsi="Times New Roman"/>
        <w:b w:val="0"/>
        <w:bCs w:val="0"/>
        <w:sz w:val="20"/>
        <w:szCs w:val="20"/>
      </w:rPr>
    </w:r>
    <w:sdt>
      <w:sdtPr>
        <w15:appearance w15:val="boundingBox"/>
        <w:id w:val="1919053915"/>
        <w:docPartObj>
          <w:docPartGallery w:val="Page Numbers (Bottom of Page)"/>
          <w:docPartUnique w:val="true"/>
        </w:docPartObj>
        <w:rPr>
          <w:rFonts w:ascii="Times New Roman" w:hAnsi="Times New Roman"/>
          <w:b w:val="0"/>
          <w:bCs w:val="0"/>
          <w:vanish/>
          <w:sz w:val="20"/>
          <w:szCs w:val="20"/>
          <w14:ligatures w14:val="none"/>
        </w:rPr>
      </w:sdtPr>
      <w:sdtContent>
        <w:r>
          <w:rPr>
            <w:rFonts w:ascii="Times New Roman" w:hAnsi="Times New Roman"/>
            <w:b w:val="0"/>
            <w:bCs w:val="0"/>
            <w:sz w:val="20"/>
            <w:szCs w:val="20"/>
          </w:rPr>
          <w:fldChar w:fldCharType="begin"/>
        </w:r>
        <w:r>
          <w:rPr>
            <w:rFonts w:ascii="Times New Roman" w:hAnsi="Times New Roman"/>
            <w:b w:val="0"/>
            <w:bCs w:val="0"/>
            <w:sz w:val="20"/>
            <w:szCs w:val="20"/>
          </w:rPr>
          <w:instrText xml:space="preserve">PAGE   \* MERGEFORMAT</w:instrText>
        </w:r>
        <w:r>
          <w:rPr>
            <w:rFonts w:ascii="Times New Roman" w:hAnsi="Times New Roman"/>
            <w:b w:val="0"/>
            <w:bCs w:val="0"/>
            <w:sz w:val="20"/>
            <w:szCs w:val="20"/>
          </w:rPr>
          <w:fldChar w:fldCharType="separate"/>
        </w:r>
        <w:r>
          <w:rPr>
            <w:rFonts w:ascii="Times New Roman" w:hAnsi="Times New Roman"/>
            <w:b w:val="0"/>
            <w:bCs w:val="0"/>
            <w:sz w:val="20"/>
            <w:szCs w:val="20"/>
          </w:rPr>
          <w:t xml:space="preserve">2</w:t>
        </w:r>
        <w:r>
          <w:rPr>
            <w:rFonts w:ascii="Times New Roman" w:hAnsi="Times New Roman"/>
            <w:b w:val="0"/>
            <w:bCs w:val="0"/>
            <w:sz w:val="20"/>
            <w:szCs w:val="20"/>
          </w:rPr>
          <w:fldChar w:fldCharType="end"/>
        </w:r>
      </w:sdtContent>
    </w:sdt>
    <w:r>
      <w:rPr>
        <w:rFonts w:ascii="Times New Roman" w:hAnsi="Times New Roman"/>
        <w:b w:val="0"/>
        <w:bCs w:val="0"/>
        <w:sz w:val="20"/>
        <w:szCs w:val="20"/>
        <w14:ligatures w14:val="none"/>
      </w:rPr>
    </w:r>
    <w:r>
      <w:rPr>
        <w:rFonts w:ascii="Times New Roman" w:hAnsi="Times New Roman"/>
        <w:b w:val="0"/>
        <w:bCs w:val="0"/>
        <w:sz w:val="20"/>
        <w:szCs w:val="20"/>
        <w14:ligatures w14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pStyle w:val="892"/>
      <w:isLgl w:val="false"/>
      <w:suff w:val="tab"/>
      <w:lvlText w:val="%1"/>
      <w:lvlJc w:val="left"/>
      <w:pPr>
        <w:ind w:left="360" w:hanging="360"/>
        <w:tabs>
          <w:tab w:val="num" w:pos="0" w:leader="none"/>
        </w:tabs>
      </w:pPr>
      <w:rPr>
        <w:b/>
        <w:i w:val="0"/>
        <w:sz w:val="28"/>
      </w:rPr>
    </w:lvl>
    <w:lvl w:ilvl="1">
      <w:start w:val="1"/>
      <w:numFmt w:val="decimal"/>
      <w:pStyle w:val="893"/>
      <w:isLgl w:val="false"/>
      <w:suff w:val="tab"/>
      <w:lvlText w:val="%1.%2."/>
      <w:lvlJc w:val="left"/>
      <w:pPr>
        <w:ind w:left="1440" w:hanging="720"/>
        <w:tabs>
          <w:tab w:val="num" w:pos="0" w:leader="none"/>
        </w:tabs>
      </w:pPr>
    </w:lvl>
    <w:lvl w:ilvl="2">
      <w:start w:val="1"/>
      <w:numFmt w:val="lowerLetter"/>
      <w:pStyle w:val="894"/>
      <w:isLgl w:val="false"/>
      <w:suff w:val="tab"/>
      <w:lvlText w:val="%1.%2.%3."/>
      <w:lvlJc w:val="left"/>
      <w:pPr>
        <w:ind w:left="1571" w:hanging="720"/>
        <w:tabs>
          <w:tab w:val="num" w:pos="0" w:leader="none"/>
        </w:tabs>
      </w:pPr>
    </w:lvl>
    <w:lvl w:ilvl="3">
      <w:start w:val="1"/>
      <w:numFmt w:val="decimal"/>
      <w:pStyle w:val="895"/>
      <w:isLgl w:val="false"/>
      <w:suff w:val="tab"/>
      <w:lvlText w:val="%1.%2.%3.(%4)."/>
      <w:lvlJc w:val="left"/>
      <w:pPr>
        <w:ind w:left="2880" w:hanging="720"/>
        <w:tabs>
          <w:tab w:val="num" w:pos="0" w:leader="none"/>
        </w:tabs>
      </w:pPr>
    </w:lvl>
    <w:lvl w:ilvl="4">
      <w:start w:val="1"/>
      <w:numFmt w:val="lowerRoman"/>
      <w:pStyle w:val="896"/>
      <w:isLgl w:val="false"/>
      <w:suff w:val="tab"/>
      <w:lvlText w:val="%1.%2.%3(%4)(%5)"/>
      <w:lvlJc w:val="left"/>
      <w:pPr>
        <w:ind w:left="4320" w:hanging="72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3" w:hanging="360"/>
      </w:pPr>
      <w:rPr>
        <w:rFonts w:hint="default" w:ascii="Symbol" w:hAnsi="Symbol"/>
        <w:b/>
        <w:color w:val="000000"/>
        <w:sz w:val="24"/>
        <w:szCs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87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59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31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03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75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47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19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913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</w:rPr>
    </w:lvl>
    <w:lvl w:ilvl="1">
      <w:start w:val="9"/>
      <w:numFmt w:val="decimal"/>
      <w:isLgl w:val="false"/>
      <w:suff w:val="tab"/>
      <w:lvlText w:val="%1.%2."/>
      <w:lvlJc w:val="left"/>
      <w:pPr>
        <w:ind w:left="956" w:hanging="720"/>
      </w:pPr>
      <w:rPr>
        <w:rFonts w:hint="default"/>
      </w:rPr>
    </w:lvl>
    <w:lvl w:ilvl="2">
      <w:start w:val="3"/>
      <w:numFmt w:val="decimal"/>
      <w:isLgl w:val="false"/>
      <w:suff w:val="tab"/>
      <w:lvlText w:val="%1.%2.%3."/>
      <w:lvlJc w:val="left"/>
      <w:pPr>
        <w:ind w:left="1192" w:hanging="720"/>
      </w:pPr>
      <w:rPr>
        <w:rFonts w:hint="default"/>
      </w:rPr>
    </w:lvl>
    <w:lvl w:ilvl="3">
      <w:start w:val="3"/>
      <w:numFmt w:val="decimal"/>
      <w:isLgl w:val="false"/>
      <w:suff w:val="tab"/>
      <w:lvlText w:val="%1.%2.%3.%4."/>
      <w:lvlJc w:val="left"/>
      <w:pPr>
        <w:ind w:left="1428" w:hanging="720"/>
      </w:pPr>
      <w:rPr>
        <w:rFonts w:hint="default"/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3688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73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9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10"/>
  </w:num>
  <w:num w:numId="6">
    <w:abstractNumId w:val="7"/>
  </w:num>
  <w:num w:numId="7">
    <w:abstractNumId w:val="4"/>
  </w:num>
  <w:num w:numId="8">
    <w:abstractNumId w:val="2"/>
  </w:num>
  <w:num w:numId="9">
    <w:abstractNumId w:val="8"/>
  </w:num>
  <w:num w:numId="10">
    <w:abstractNumId w:val="3"/>
  </w:num>
  <w:num w:numId="11">
    <w:abstractNumId w:val="6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6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5">
    <w:name w:val="Heading 1 Char"/>
    <w:basedOn w:val="897"/>
    <w:link w:val="892"/>
    <w:uiPriority w:val="9"/>
    <w:rPr>
      <w:rFonts w:ascii="Arial" w:hAnsi="Arial" w:eastAsia="Arial" w:cs="Arial"/>
      <w:sz w:val="40"/>
      <w:szCs w:val="40"/>
    </w:rPr>
  </w:style>
  <w:style w:type="character" w:styleId="726">
    <w:name w:val="Heading 2 Char"/>
    <w:basedOn w:val="897"/>
    <w:link w:val="893"/>
    <w:uiPriority w:val="9"/>
    <w:rPr>
      <w:rFonts w:ascii="Arial" w:hAnsi="Arial" w:eastAsia="Arial" w:cs="Arial"/>
      <w:sz w:val="34"/>
    </w:rPr>
  </w:style>
  <w:style w:type="character" w:styleId="727">
    <w:name w:val="Heading 3 Char"/>
    <w:basedOn w:val="897"/>
    <w:link w:val="894"/>
    <w:uiPriority w:val="9"/>
    <w:rPr>
      <w:rFonts w:ascii="Arial" w:hAnsi="Arial" w:eastAsia="Arial" w:cs="Arial"/>
      <w:sz w:val="30"/>
      <w:szCs w:val="30"/>
    </w:rPr>
  </w:style>
  <w:style w:type="character" w:styleId="728">
    <w:name w:val="Heading 4 Char"/>
    <w:basedOn w:val="897"/>
    <w:link w:val="895"/>
    <w:uiPriority w:val="9"/>
    <w:rPr>
      <w:rFonts w:ascii="Arial" w:hAnsi="Arial" w:eastAsia="Arial" w:cs="Arial"/>
      <w:b/>
      <w:bCs/>
      <w:sz w:val="26"/>
      <w:szCs w:val="26"/>
    </w:rPr>
  </w:style>
  <w:style w:type="character" w:styleId="729">
    <w:name w:val="Heading 5 Char"/>
    <w:basedOn w:val="897"/>
    <w:link w:val="896"/>
    <w:uiPriority w:val="9"/>
    <w:rPr>
      <w:rFonts w:ascii="Arial" w:hAnsi="Arial" w:eastAsia="Arial" w:cs="Arial"/>
      <w:b/>
      <w:bCs/>
      <w:sz w:val="24"/>
      <w:szCs w:val="24"/>
    </w:rPr>
  </w:style>
  <w:style w:type="paragraph" w:styleId="730">
    <w:name w:val="Heading 6"/>
    <w:basedOn w:val="891"/>
    <w:next w:val="891"/>
    <w:link w:val="73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1">
    <w:name w:val="Heading 6 Char"/>
    <w:basedOn w:val="897"/>
    <w:link w:val="730"/>
    <w:uiPriority w:val="9"/>
    <w:rPr>
      <w:rFonts w:ascii="Arial" w:hAnsi="Arial" w:eastAsia="Arial" w:cs="Arial"/>
      <w:b/>
      <w:bCs/>
      <w:sz w:val="22"/>
      <w:szCs w:val="22"/>
    </w:rPr>
  </w:style>
  <w:style w:type="paragraph" w:styleId="732">
    <w:name w:val="Heading 7"/>
    <w:basedOn w:val="891"/>
    <w:next w:val="891"/>
    <w:link w:val="73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3">
    <w:name w:val="Heading 7 Char"/>
    <w:basedOn w:val="897"/>
    <w:link w:val="73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4">
    <w:name w:val="Heading 8"/>
    <w:basedOn w:val="891"/>
    <w:next w:val="891"/>
    <w:link w:val="73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5">
    <w:name w:val="Heading 8 Char"/>
    <w:basedOn w:val="897"/>
    <w:link w:val="734"/>
    <w:uiPriority w:val="9"/>
    <w:rPr>
      <w:rFonts w:ascii="Arial" w:hAnsi="Arial" w:eastAsia="Arial" w:cs="Arial"/>
      <w:i/>
      <w:iCs/>
      <w:sz w:val="22"/>
      <w:szCs w:val="22"/>
    </w:rPr>
  </w:style>
  <w:style w:type="paragraph" w:styleId="736">
    <w:name w:val="Heading 9"/>
    <w:basedOn w:val="891"/>
    <w:next w:val="891"/>
    <w:link w:val="73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7">
    <w:name w:val="Heading 9 Char"/>
    <w:basedOn w:val="897"/>
    <w:link w:val="736"/>
    <w:uiPriority w:val="9"/>
    <w:rPr>
      <w:rFonts w:ascii="Arial" w:hAnsi="Arial" w:eastAsia="Arial" w:cs="Arial"/>
      <w:i/>
      <w:iCs/>
      <w:sz w:val="21"/>
      <w:szCs w:val="21"/>
    </w:rPr>
  </w:style>
  <w:style w:type="paragraph" w:styleId="738">
    <w:name w:val="No Spacing"/>
    <w:uiPriority w:val="1"/>
    <w:qFormat/>
    <w:pPr>
      <w:spacing w:before="0" w:after="0" w:line="240" w:lineRule="auto"/>
    </w:pPr>
  </w:style>
  <w:style w:type="character" w:styleId="739">
    <w:name w:val="Title Char"/>
    <w:basedOn w:val="897"/>
    <w:link w:val="924"/>
    <w:uiPriority w:val="10"/>
    <w:rPr>
      <w:sz w:val="48"/>
      <w:szCs w:val="48"/>
    </w:rPr>
  </w:style>
  <w:style w:type="paragraph" w:styleId="740">
    <w:name w:val="Subtitle"/>
    <w:basedOn w:val="891"/>
    <w:next w:val="891"/>
    <w:link w:val="741"/>
    <w:uiPriority w:val="11"/>
    <w:qFormat/>
    <w:pPr>
      <w:spacing w:before="200" w:after="200"/>
    </w:pPr>
    <w:rPr>
      <w:sz w:val="24"/>
      <w:szCs w:val="24"/>
    </w:rPr>
  </w:style>
  <w:style w:type="character" w:styleId="741">
    <w:name w:val="Subtitle Char"/>
    <w:basedOn w:val="897"/>
    <w:link w:val="740"/>
    <w:uiPriority w:val="11"/>
    <w:rPr>
      <w:sz w:val="24"/>
      <w:szCs w:val="24"/>
    </w:rPr>
  </w:style>
  <w:style w:type="paragraph" w:styleId="742">
    <w:name w:val="Quote"/>
    <w:basedOn w:val="891"/>
    <w:next w:val="891"/>
    <w:link w:val="743"/>
    <w:uiPriority w:val="29"/>
    <w:qFormat/>
    <w:pPr>
      <w:ind w:left="720" w:right="720"/>
    </w:pPr>
    <w:rPr>
      <w:i/>
    </w:rPr>
  </w:style>
  <w:style w:type="character" w:styleId="743">
    <w:name w:val="Quote Char"/>
    <w:link w:val="742"/>
    <w:uiPriority w:val="29"/>
    <w:rPr>
      <w:i/>
    </w:rPr>
  </w:style>
  <w:style w:type="paragraph" w:styleId="744">
    <w:name w:val="Intense Quote"/>
    <w:basedOn w:val="891"/>
    <w:next w:val="891"/>
    <w:link w:val="74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5">
    <w:name w:val="Intense Quote Char"/>
    <w:link w:val="744"/>
    <w:uiPriority w:val="30"/>
    <w:rPr>
      <w:i/>
    </w:rPr>
  </w:style>
  <w:style w:type="character" w:styleId="746">
    <w:name w:val="Header Char"/>
    <w:basedOn w:val="897"/>
    <w:link w:val="918"/>
    <w:uiPriority w:val="99"/>
  </w:style>
  <w:style w:type="character" w:styleId="747">
    <w:name w:val="Footer Char"/>
    <w:basedOn w:val="897"/>
    <w:link w:val="920"/>
    <w:uiPriority w:val="99"/>
  </w:style>
  <w:style w:type="character" w:styleId="748">
    <w:name w:val="Caption Char"/>
    <w:basedOn w:val="911"/>
    <w:link w:val="920"/>
    <w:uiPriority w:val="99"/>
  </w:style>
  <w:style w:type="table" w:styleId="749">
    <w:name w:val="Table Grid Light"/>
    <w:basedOn w:val="8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0">
    <w:name w:val="Plain Table 1"/>
    <w:basedOn w:val="8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1">
    <w:name w:val="Plain Table 2"/>
    <w:basedOn w:val="89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2">
    <w:name w:val="Plain Table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3">
    <w:name w:val="Plain Table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Plain Table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5">
    <w:name w:val="Grid Table 1 Light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1 Light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Grid Table 1 Light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Grid Table 1 Light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Grid Table 1 Light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Grid Table 1 Light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1 Light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2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2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2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2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2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2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3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3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3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3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4"/>
    <w:basedOn w:val="8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7">
    <w:name w:val="Grid Table 4 - Accent 1"/>
    <w:basedOn w:val="8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8">
    <w:name w:val="Grid Table 4 - Accent 2"/>
    <w:basedOn w:val="8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Grid Table 4 - Accent 3"/>
    <w:basedOn w:val="8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0">
    <w:name w:val="Grid Table 4 - Accent 4"/>
    <w:basedOn w:val="8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Grid Table 4 - Accent 5"/>
    <w:basedOn w:val="8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2">
    <w:name w:val="Grid Table 4 - Accent 6"/>
    <w:basedOn w:val="8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3">
    <w:name w:val="Grid Table 5 Dark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4">
    <w:name w:val="Grid Table 5 Dark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85">
    <w:name w:val="Grid Table 5 Dark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86">
    <w:name w:val="Grid Table 5 Dark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87">
    <w:name w:val="Grid Table 5 Dark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88">
    <w:name w:val="Grid Table 5 Dark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9">
    <w:name w:val="Grid Table 5 Dark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90">
    <w:name w:val="Grid Table 6 Colorful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1">
    <w:name w:val="Grid Table 6 Colorful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2">
    <w:name w:val="Grid Table 6 Colorful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3">
    <w:name w:val="Grid Table 6 Colorful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94">
    <w:name w:val="Grid Table 6 Colorful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5">
    <w:name w:val="Grid Table 6 Colorful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6">
    <w:name w:val="Grid Table 6 Colorful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7">
    <w:name w:val="Grid Table 7 Colorful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7 Colorful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7 Colorful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7 Colorful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7 Colorful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7 Colorful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7 Colorful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List Table 1 Light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1 Light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1 Light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List Table 1 Light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List Table 1 Light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List Table 1 Light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2">
    <w:name w:val="List Table 2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3">
    <w:name w:val="List Table 2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4">
    <w:name w:val="List Table 2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5">
    <w:name w:val="List Table 2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6">
    <w:name w:val="List Table 2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7">
    <w:name w:val="List Table 2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8">
    <w:name w:val="List Table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3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3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3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3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3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3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4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4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4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4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4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5 Dark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3">
    <w:name w:val="List Table 5 Dark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4">
    <w:name w:val="List Table 5 Dark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5">
    <w:name w:val="List Table 5 Dark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6">
    <w:name w:val="List Table 5 Dark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7">
    <w:name w:val="List Table 5 Dark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8">
    <w:name w:val="List Table 5 Dark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6 Colorful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0">
    <w:name w:val="List Table 6 Colorful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1">
    <w:name w:val="List Table 6 Colorful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2">
    <w:name w:val="List Table 6 Colorful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3">
    <w:name w:val="List Table 6 Colorful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4">
    <w:name w:val="List Table 6 Colorful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5">
    <w:name w:val="List Table 6 Colorful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6">
    <w:name w:val="List Table 7 Colorful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47">
    <w:name w:val="List Table 7 Colorful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48">
    <w:name w:val="List Table 7 Colorful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49">
    <w:name w:val="List Table 7 Colorful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50">
    <w:name w:val="List Table 7 Colorful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51">
    <w:name w:val="List Table 7 Colorful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52">
    <w:name w:val="List Table 7 Colorful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53">
    <w:name w:val="Lined - Accent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4">
    <w:name w:val="Lined - Accent 1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5">
    <w:name w:val="Lined - Accent 2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6">
    <w:name w:val="Lined - Accent 3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7">
    <w:name w:val="Lined - Accent 4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8">
    <w:name w:val="Lined - Accent 5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9">
    <w:name w:val="Lined - Accent 6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0">
    <w:name w:val="Bordered &amp; Lined - Accent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1">
    <w:name w:val="Bordered &amp; Lined - Accent 1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62">
    <w:name w:val="Bordered &amp; Lined - Accent 2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3">
    <w:name w:val="Bordered &amp; Lined - Accent 3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4">
    <w:name w:val="Bordered &amp; Lined - Accent 4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5">
    <w:name w:val="Bordered &amp; Lined - Accent 5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6">
    <w:name w:val="Bordered &amp; Lined - Accent 6"/>
    <w:basedOn w:val="8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7">
    <w:name w:val="Bordered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8">
    <w:name w:val="Bordered - Accent 1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9">
    <w:name w:val="Bordered - Accent 2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0">
    <w:name w:val="Bordered - Accent 3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1">
    <w:name w:val="Bordered - Accent 4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2">
    <w:name w:val="Bordered - Accent 5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3">
    <w:name w:val="Bordered - Accent 6"/>
    <w:basedOn w:val="8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74">
    <w:name w:val="footnote text"/>
    <w:basedOn w:val="891"/>
    <w:link w:val="875"/>
    <w:uiPriority w:val="99"/>
    <w:semiHidden/>
    <w:unhideWhenUsed/>
    <w:pPr>
      <w:spacing w:after="40" w:line="240" w:lineRule="auto"/>
    </w:pPr>
    <w:rPr>
      <w:sz w:val="18"/>
    </w:rPr>
  </w:style>
  <w:style w:type="character" w:styleId="875">
    <w:name w:val="Footnote Text Char"/>
    <w:link w:val="874"/>
    <w:uiPriority w:val="99"/>
    <w:rPr>
      <w:sz w:val="18"/>
    </w:rPr>
  </w:style>
  <w:style w:type="character" w:styleId="876">
    <w:name w:val="footnote reference"/>
    <w:basedOn w:val="897"/>
    <w:uiPriority w:val="99"/>
    <w:unhideWhenUsed/>
    <w:rPr>
      <w:vertAlign w:val="superscript"/>
    </w:rPr>
  </w:style>
  <w:style w:type="paragraph" w:styleId="877">
    <w:name w:val="endnote text"/>
    <w:basedOn w:val="891"/>
    <w:link w:val="878"/>
    <w:uiPriority w:val="99"/>
    <w:semiHidden/>
    <w:unhideWhenUsed/>
    <w:pPr>
      <w:spacing w:after="0" w:line="240" w:lineRule="auto"/>
    </w:pPr>
    <w:rPr>
      <w:sz w:val="20"/>
    </w:rPr>
  </w:style>
  <w:style w:type="character" w:styleId="878">
    <w:name w:val="Endnote Text Char"/>
    <w:link w:val="877"/>
    <w:uiPriority w:val="99"/>
    <w:rPr>
      <w:sz w:val="20"/>
    </w:rPr>
  </w:style>
  <w:style w:type="character" w:styleId="879">
    <w:name w:val="endnote reference"/>
    <w:basedOn w:val="897"/>
    <w:uiPriority w:val="99"/>
    <w:semiHidden/>
    <w:unhideWhenUsed/>
    <w:rPr>
      <w:vertAlign w:val="superscript"/>
    </w:rPr>
  </w:style>
  <w:style w:type="paragraph" w:styleId="880">
    <w:name w:val="toc 1"/>
    <w:basedOn w:val="891"/>
    <w:next w:val="891"/>
    <w:uiPriority w:val="39"/>
    <w:unhideWhenUsed/>
    <w:pPr>
      <w:ind w:left="0" w:right="0" w:firstLine="0"/>
      <w:spacing w:after="57"/>
    </w:pPr>
  </w:style>
  <w:style w:type="paragraph" w:styleId="881">
    <w:name w:val="toc 2"/>
    <w:basedOn w:val="891"/>
    <w:next w:val="891"/>
    <w:uiPriority w:val="39"/>
    <w:unhideWhenUsed/>
    <w:pPr>
      <w:ind w:left="283" w:right="0" w:firstLine="0"/>
      <w:spacing w:after="57"/>
    </w:pPr>
  </w:style>
  <w:style w:type="paragraph" w:styleId="882">
    <w:name w:val="toc 3"/>
    <w:basedOn w:val="891"/>
    <w:next w:val="891"/>
    <w:uiPriority w:val="39"/>
    <w:unhideWhenUsed/>
    <w:pPr>
      <w:ind w:left="567" w:right="0" w:firstLine="0"/>
      <w:spacing w:after="57"/>
    </w:pPr>
  </w:style>
  <w:style w:type="paragraph" w:styleId="883">
    <w:name w:val="toc 4"/>
    <w:basedOn w:val="891"/>
    <w:next w:val="891"/>
    <w:uiPriority w:val="39"/>
    <w:unhideWhenUsed/>
    <w:pPr>
      <w:ind w:left="850" w:right="0" w:firstLine="0"/>
      <w:spacing w:after="57"/>
    </w:pPr>
  </w:style>
  <w:style w:type="paragraph" w:styleId="884">
    <w:name w:val="toc 5"/>
    <w:basedOn w:val="891"/>
    <w:next w:val="891"/>
    <w:uiPriority w:val="39"/>
    <w:unhideWhenUsed/>
    <w:pPr>
      <w:ind w:left="1134" w:right="0" w:firstLine="0"/>
      <w:spacing w:after="57"/>
    </w:pPr>
  </w:style>
  <w:style w:type="paragraph" w:styleId="885">
    <w:name w:val="toc 6"/>
    <w:basedOn w:val="891"/>
    <w:next w:val="891"/>
    <w:uiPriority w:val="39"/>
    <w:unhideWhenUsed/>
    <w:pPr>
      <w:ind w:left="1417" w:right="0" w:firstLine="0"/>
      <w:spacing w:after="57"/>
    </w:pPr>
  </w:style>
  <w:style w:type="paragraph" w:styleId="886">
    <w:name w:val="toc 7"/>
    <w:basedOn w:val="891"/>
    <w:next w:val="891"/>
    <w:uiPriority w:val="39"/>
    <w:unhideWhenUsed/>
    <w:pPr>
      <w:ind w:left="1701" w:right="0" w:firstLine="0"/>
      <w:spacing w:after="57"/>
    </w:pPr>
  </w:style>
  <w:style w:type="paragraph" w:styleId="887">
    <w:name w:val="toc 8"/>
    <w:basedOn w:val="891"/>
    <w:next w:val="891"/>
    <w:uiPriority w:val="39"/>
    <w:unhideWhenUsed/>
    <w:pPr>
      <w:ind w:left="1984" w:right="0" w:firstLine="0"/>
      <w:spacing w:after="57"/>
    </w:pPr>
  </w:style>
  <w:style w:type="paragraph" w:styleId="888">
    <w:name w:val="toc 9"/>
    <w:basedOn w:val="891"/>
    <w:next w:val="891"/>
    <w:uiPriority w:val="39"/>
    <w:unhideWhenUsed/>
    <w:pPr>
      <w:ind w:left="2268" w:right="0" w:firstLine="0"/>
      <w:spacing w:after="57"/>
    </w:pPr>
  </w:style>
  <w:style w:type="paragraph" w:styleId="889">
    <w:name w:val="TOC Heading"/>
    <w:uiPriority w:val="39"/>
    <w:unhideWhenUsed/>
  </w:style>
  <w:style w:type="paragraph" w:styleId="890">
    <w:name w:val="table of figures"/>
    <w:basedOn w:val="891"/>
    <w:next w:val="891"/>
    <w:uiPriority w:val="99"/>
    <w:unhideWhenUsed/>
    <w:pPr>
      <w:spacing w:after="0" w:afterAutospacing="0"/>
    </w:pPr>
  </w:style>
  <w:style w:type="paragraph" w:styleId="891" w:default="1">
    <w:name w:val="Normal"/>
    <w:qFormat/>
    <w:pPr>
      <w:spacing w:after="200" w:line="276" w:lineRule="auto"/>
    </w:pPr>
  </w:style>
  <w:style w:type="paragraph" w:styleId="892">
    <w:name w:val="Heading 1"/>
    <w:basedOn w:val="891"/>
    <w:next w:val="891"/>
    <w:link w:val="901"/>
    <w:qFormat/>
    <w:pPr>
      <w:numPr>
        <w:ilvl w:val="0"/>
        <w:numId w:val="1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893">
    <w:name w:val="Heading 2"/>
    <w:basedOn w:val="909"/>
    <w:next w:val="891"/>
    <w:link w:val="902"/>
    <w:qFormat/>
    <w:pPr>
      <w:numPr>
        <w:ilvl w:val="1"/>
        <w:numId w:val="1"/>
      </w:numPr>
      <w:ind w:left="630" w:hanging="630"/>
      <w:jc w:val="both"/>
      <w:keepLines/>
      <w:keepNext/>
      <w:spacing w:before="240" w:after="140" w:line="240" w:lineRule="auto"/>
      <w:widowControl w:val="off"/>
      <w:tabs>
        <w:tab w:val="left" w:pos="284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894">
    <w:name w:val="Heading 3"/>
    <w:basedOn w:val="891"/>
    <w:next w:val="891"/>
    <w:link w:val="903"/>
    <w:unhideWhenUsed/>
    <w:qFormat/>
    <w:pPr>
      <w:numPr>
        <w:ilvl w:val="2"/>
        <w:numId w:val="1"/>
      </w:numPr>
      <w:ind w:left="720" w:firstLine="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895">
    <w:name w:val="Heading 4"/>
    <w:basedOn w:val="891"/>
    <w:next w:val="891"/>
    <w:link w:val="904"/>
    <w:unhideWhenUsed/>
    <w:qFormat/>
    <w:pPr>
      <w:numPr>
        <w:ilvl w:val="3"/>
        <w:numId w:val="1"/>
      </w:numPr>
      <w:ind w:left="1426" w:firstLine="0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896">
    <w:name w:val="Heading 5"/>
    <w:basedOn w:val="891"/>
    <w:next w:val="891"/>
    <w:link w:val="905"/>
    <w:uiPriority w:val="9"/>
    <w:qFormat/>
    <w:pPr>
      <w:numPr>
        <w:ilvl w:val="4"/>
        <w:numId w:val="1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897" w:default="1">
    <w:name w:val="Default Paragraph Font"/>
    <w:uiPriority w:val="1"/>
    <w:semiHidden/>
    <w:unhideWhenUsed/>
  </w:style>
  <w:style w:type="table" w:styleId="8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9" w:default="1">
    <w:name w:val="No List"/>
    <w:uiPriority w:val="99"/>
    <w:semiHidden/>
    <w:unhideWhenUsed/>
  </w:style>
  <w:style w:type="character" w:styleId="900" w:customStyle="1">
    <w:name w:val="Схема документа Знак"/>
    <w:basedOn w:val="897"/>
    <w:uiPriority w:val="99"/>
    <w:semiHidden/>
    <w:qFormat/>
    <w:rPr>
      <w:rFonts w:ascii="Tahoma" w:hAnsi="Tahoma" w:cs="Tahoma"/>
      <w:sz w:val="16"/>
      <w:szCs w:val="16"/>
    </w:rPr>
  </w:style>
  <w:style w:type="character" w:styleId="901" w:customStyle="1">
    <w:name w:val="Заголовок 1 Знак"/>
    <w:basedOn w:val="897"/>
    <w:link w:val="892"/>
    <w:qFormat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902" w:customStyle="1">
    <w:name w:val="Заголовок 2 Знак"/>
    <w:basedOn w:val="897"/>
    <w:link w:val="893"/>
    <w:qFormat/>
    <w:rPr>
      <w:rFonts w:ascii="Arial" w:hAnsi="Arial" w:eastAsia="Times New Roman" w:cs="Arial"/>
      <w:b/>
      <w:bCs/>
      <w:szCs w:val="20"/>
      <w:lang w:val="en-US"/>
    </w:rPr>
  </w:style>
  <w:style w:type="character" w:styleId="903" w:customStyle="1">
    <w:name w:val="Заголовок 3 Знак"/>
    <w:basedOn w:val="897"/>
    <w:link w:val="894"/>
    <w:qFormat/>
    <w:rPr>
      <w:rFonts w:ascii="Arial" w:hAnsi="Arial" w:eastAsia="Times New Roman" w:cs="Times New Roman"/>
      <w:b/>
      <w:bCs/>
      <w:szCs w:val="26"/>
    </w:rPr>
  </w:style>
  <w:style w:type="character" w:styleId="904" w:customStyle="1">
    <w:name w:val="Заголовок 4 Знак"/>
    <w:basedOn w:val="897"/>
    <w:link w:val="895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905" w:customStyle="1">
    <w:name w:val="Заголовок 5 Знак"/>
    <w:basedOn w:val="897"/>
    <w:link w:val="896"/>
    <w:uiPriority w:val="9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906" w:customStyle="1">
    <w:name w:val="Основной текст Знак"/>
    <w:basedOn w:val="897"/>
    <w:uiPriority w:val="99"/>
    <w:semiHidden/>
    <w:qFormat/>
  </w:style>
  <w:style w:type="character" w:styleId="907" w:customStyle="1">
    <w:name w:val="Интернет-ссылка"/>
    <w:uiPriority w:val="99"/>
    <w:unhideWhenUsed/>
    <w:rPr>
      <w:color w:val="0000ff"/>
      <w:u w:val="single"/>
    </w:rPr>
  </w:style>
  <w:style w:type="paragraph" w:styleId="908" w:customStyle="1">
    <w:name w:val="Заголовок1"/>
    <w:basedOn w:val="891"/>
    <w:next w:val="909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909">
    <w:name w:val="Body Text"/>
    <w:basedOn w:val="891"/>
    <w:uiPriority w:val="99"/>
    <w:semiHidden/>
    <w:unhideWhenUsed/>
    <w:pPr>
      <w:spacing w:after="120"/>
    </w:pPr>
  </w:style>
  <w:style w:type="paragraph" w:styleId="910">
    <w:name w:val="List"/>
    <w:basedOn w:val="909"/>
    <w:rPr>
      <w:rFonts w:cs="Arial"/>
    </w:rPr>
  </w:style>
  <w:style w:type="paragraph" w:styleId="911">
    <w:name w:val="Caption"/>
    <w:basedOn w:val="891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912">
    <w:name w:val="index heading"/>
    <w:basedOn w:val="891"/>
    <w:qFormat/>
    <w:pPr>
      <w:suppressLineNumbers/>
    </w:pPr>
    <w:rPr>
      <w:rFonts w:cs="Arial"/>
    </w:rPr>
  </w:style>
  <w:style w:type="paragraph" w:styleId="913">
    <w:name w:val="Document Map"/>
    <w:basedOn w:val="891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14" w:customStyle="1">
    <w:name w:val="Содержимое таблицы"/>
    <w:basedOn w:val="891"/>
    <w:uiPriority w:val="99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915" w:customStyle="1">
    <w:name w:val="Заголовок таблицы"/>
    <w:basedOn w:val="914"/>
    <w:uiPriority w:val="99"/>
    <w:qFormat/>
    <w:pPr>
      <w:jc w:val="center"/>
    </w:pPr>
    <w:rPr>
      <w:b/>
      <w:bCs/>
    </w:rPr>
  </w:style>
  <w:style w:type="paragraph" w:styleId="916">
    <w:name w:val="List Paragraph"/>
    <w:basedOn w:val="891"/>
    <w:link w:val="930"/>
    <w:uiPriority w:val="34"/>
    <w:qFormat/>
    <w:pPr>
      <w:contextualSpacing/>
      <w:ind w:left="720"/>
    </w:pPr>
  </w:style>
  <w:style w:type="table" w:styleId="917">
    <w:name w:val="Table Grid"/>
    <w:basedOn w:val="898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18">
    <w:name w:val="Header"/>
    <w:basedOn w:val="891"/>
    <w:link w:val="91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9" w:customStyle="1">
    <w:name w:val="Верхний колонтитул Знак"/>
    <w:basedOn w:val="897"/>
    <w:link w:val="918"/>
    <w:uiPriority w:val="99"/>
  </w:style>
  <w:style w:type="paragraph" w:styleId="920">
    <w:name w:val="Footer"/>
    <w:basedOn w:val="891"/>
    <w:link w:val="92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1" w:customStyle="1">
    <w:name w:val="Нижний колонтитул Знак"/>
    <w:basedOn w:val="897"/>
    <w:link w:val="920"/>
    <w:uiPriority w:val="99"/>
  </w:style>
  <w:style w:type="paragraph" w:styleId="922">
    <w:name w:val="Balloon Text"/>
    <w:basedOn w:val="891"/>
    <w:link w:val="92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23" w:customStyle="1">
    <w:name w:val="Текст выноски Знак"/>
    <w:basedOn w:val="897"/>
    <w:link w:val="922"/>
    <w:uiPriority w:val="99"/>
    <w:semiHidden/>
    <w:rPr>
      <w:rFonts w:ascii="Tahoma" w:hAnsi="Tahoma" w:cs="Tahoma"/>
      <w:sz w:val="16"/>
      <w:szCs w:val="16"/>
    </w:rPr>
  </w:style>
  <w:style w:type="paragraph" w:styleId="924">
    <w:name w:val="Title"/>
    <w:basedOn w:val="891"/>
    <w:link w:val="925"/>
    <w:uiPriority w:val="99"/>
    <w:qFormat/>
    <w:pPr>
      <w:jc w:val="center"/>
      <w:spacing w:after="0" w:line="360" w:lineRule="auto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25" w:customStyle="1">
    <w:name w:val="Название Знак"/>
    <w:basedOn w:val="897"/>
    <w:link w:val="924"/>
    <w:uiPriority w:val="99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26">
    <w:name w:val="Body Text Indent 2"/>
    <w:basedOn w:val="891"/>
    <w:link w:val="927"/>
    <w:uiPriority w:val="99"/>
    <w:pPr>
      <w:ind w:right="486" w:firstLine="720"/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7" w:customStyle="1">
    <w:name w:val="Основной текст с отступом 2 Знак"/>
    <w:basedOn w:val="897"/>
    <w:link w:val="92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8">
    <w:name w:val="Body Text Indent"/>
    <w:basedOn w:val="891"/>
    <w:link w:val="929"/>
    <w:uiPriority w:val="99"/>
    <w:semiHidden/>
    <w:unhideWhenUsed/>
    <w:pPr>
      <w:ind w:left="283"/>
      <w:spacing w:after="120"/>
    </w:pPr>
  </w:style>
  <w:style w:type="character" w:styleId="929" w:customStyle="1">
    <w:name w:val="Основной текст с отступом Знак"/>
    <w:basedOn w:val="897"/>
    <w:link w:val="928"/>
    <w:uiPriority w:val="99"/>
  </w:style>
  <w:style w:type="character" w:styleId="930" w:customStyle="1">
    <w:name w:val="Абзац списка Знак"/>
    <w:basedOn w:val="897"/>
    <w:link w:val="916"/>
    <w:uiPriority w:val="34"/>
    <w:qFormat/>
  </w:style>
  <w:style w:type="paragraph" w:styleId="931">
    <w:name w:val="Block Text"/>
    <w:basedOn w:val="891"/>
    <w:pPr>
      <w:ind w:left="-108" w:right="-108"/>
      <w:spacing w:after="0" w:line="240" w:lineRule="auto"/>
    </w:pPr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932">
    <w:name w:val="Hyperlink"/>
    <w:basedOn w:val="897"/>
    <w:uiPriority w:val="99"/>
    <w:unhideWhenUsed/>
    <w:rPr>
      <w:color w:val="0000ff" w:themeColor="hyperlink"/>
      <w:u w:val="single"/>
    </w:rPr>
  </w:style>
  <w:style w:type="character" w:styleId="933" w:customStyle="1">
    <w:name w:val="notice-number"/>
    <w:basedOn w:val="897"/>
  </w:style>
  <w:style w:type="paragraph" w:styleId="934" w:customStyle="1">
    <w:name w:val="Default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935" w:customStyle="1">
    <w:name w:val="Абзац списка,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Нумерация списка,Абзац,1"/>
    <w:uiPriority w:val="34"/>
    <w:qFormat/>
    <w:pPr>
      <w:contextualSpacing w:val="0"/>
      <w:ind w:left="72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Р7-Офис/7.4.0.351</Application>
  <Company>АО "Энергостройснабкомплект ЕЭС"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dc:language>ru-RU</dc:language>
  <cp:revision>57</cp:revision>
  <dcterms:created xsi:type="dcterms:W3CDTF">2024-10-10T10:42:00Z</dcterms:created>
  <dcterms:modified xsi:type="dcterms:W3CDTF">2025-12-15T09:43:46Z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