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messagecaption"/>
        <w:bidi w:val="0"/>
        <w:spacing w:lineRule="atLeast" w:line="0"/>
        <w:jc w:val="center"/>
        <w:rPr/>
      </w:pPr>
      <w:r>
        <w:rPr/>
        <w:t>ПРОТОКОЛ ПОДВЕДЕНИЯ ИТОГОВ</w:t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(в редакции № 1)</w:t>
      </w:r>
    </w:p>
    <w:p>
      <w:pPr>
        <w:pStyle w:val="messagesubcaption"/>
        <w:bidi w:val="0"/>
        <w:jc w:val="center"/>
        <w:rPr/>
      </w:pPr>
      <w:r>
        <w:rPr/>
        <w:t>                                                                                          </w:t>
      </w:r>
      <w:r>
        <w:rPr/>
        <w:t>15 декабря 2025 года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variable"/>
        <w:bidi w:val="0"/>
        <w:jc w:val="start"/>
        <w:rPr/>
      </w:pPr>
      <w:r>
        <w:rPr/>
        <w:t>Номер процедуры:</w:t>
      </w:r>
      <w:r>
        <w:rPr>
          <w:b w:val="false"/>
          <w:i w:val="false"/>
          <w:u w:val="none"/>
        </w:rPr>
        <w:t xml:space="preserve"> 0130025006DP</w:t>
      </w:r>
    </w:p>
    <w:p>
      <w:pPr>
        <w:pStyle w:val="variable"/>
        <w:bidi w:val="0"/>
        <w:jc w:val="start"/>
        <w:rPr/>
      </w:pPr>
      <w:r>
        <w:rPr/>
        <w:t>Реестровый номер (ЕИС):</w:t>
      </w:r>
      <w:r>
        <w:rPr>
          <w:b w:val="false"/>
          <w:i w:val="false"/>
          <w:u w:val="none"/>
        </w:rPr>
        <w:t xml:space="preserve"> 32515458946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I. Общие положения</w:t>
      </w:r>
    </w:p>
    <w:p>
      <w:pPr>
        <w:pStyle w:val="variable"/>
        <w:bidi w:val="0"/>
        <w:jc w:val="start"/>
        <w:rPr/>
      </w:pPr>
      <w:r>
        <w:rPr/>
        <w:t>Способ закупки:</w:t>
      </w:r>
      <w:r>
        <w:rPr>
          <w:b w:val="false"/>
          <w:i w:val="false"/>
          <w:u w:val="none"/>
        </w:rPr>
        <w:t xml:space="preserve"> Аукцион по 223-ФЗ.</w:t>
      </w:r>
    </w:p>
    <w:p>
      <w:pPr>
        <w:pStyle w:val="variable"/>
        <w:bidi w:val="0"/>
        <w:jc w:val="start"/>
        <w:rPr/>
      </w:pPr>
      <w:r>
        <w:rPr/>
        <w:t>Сведения об организаторе:</w:t>
      </w:r>
      <w:r>
        <w:rPr>
          <w:b w:val="false"/>
          <w:i w:val="false"/>
          <w:u w:val="none"/>
        </w:rPr>
        <w:t xml:space="preserve"> МУНИЦИПАЛЬНОЕ БЮДЖЕТНОЕ ДОШКОЛЬНОЕ ОБРАЗОВАТЕЛЬНОЕ УЧРЕЖДЕНИЕ - ДЕТСКИЙ САД ОБЩЕРАЗВИВАЮЩЕГО ВИДА С ПРИОРИТЕТНЫМ ОСУЩЕСТВЛЕНИЕМ ДЕЯТЕЛЬНОСТИ ПО ПОЗНАВАТЕЛЬНО-РЕЧЕВОМУ РАЗВИТИЮ ВОСПИТАННИКОВ № 121 (ИНН: 6674101341, КПП: 667901001, ОГРН: 1026605761368).</w:t>
      </w:r>
    </w:p>
    <w:p>
      <w:pPr>
        <w:pStyle w:val="text"/>
        <w:bidi w:val="0"/>
        <w:spacing w:lineRule="auto" w:line="240"/>
        <w:jc w:val="start"/>
        <w:rPr/>
      </w:pPr>
      <w:r>
        <w:rPr/>
        <w:t>Место нахождения: 620085, Свердловская обл, г Екатеринбург, р-н Чкаловский, ул Братская, дом 16, корпус а.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620085, Свердловская обл, г Екатеринбург, р-н Чкаловский, ул Братская, дом 16, корпус а.</w:t>
      </w:r>
    </w:p>
    <w:p>
      <w:pPr>
        <w:pStyle w:val="variable"/>
        <w:bidi w:val="0"/>
        <w:jc w:val="start"/>
        <w:rPr/>
      </w:pPr>
      <w:r>
        <w:rPr/>
        <w:t>Сведения о заказчике:</w:t>
      </w:r>
      <w:r>
        <w:rPr>
          <w:b w:val="false"/>
          <w:i w:val="false"/>
          <w:u w:val="none"/>
        </w:rPr>
        <w:t xml:space="preserve"> МУНИЦИПАЛЬНОЕ БЮДЖЕТНОЕ ДОШКОЛЬНОЕ ОБРАЗОВАТЕЛЬНОЕ УЧРЕЖДЕНИЕ - ДЕТСКИЙ САД ОБЩЕРАЗВИВАЮЩЕГО ВИДА С ПРИОРИТЕТНЫМ ОСУЩЕСТВЛЕНИЕМ ДЕЯТЕЛЬНОСТИ ПО ПОЗНАВАТЕЛЬНО-РЕЧЕВОМУ РАЗВИТИЮ ВОСПИТАННИКОВ № 121 (ИНН: 6674101341, КПП: 667901001, ОГРН: 1026605761368).</w:t>
      </w:r>
    </w:p>
    <w:p>
      <w:pPr>
        <w:pStyle w:val="text"/>
        <w:bidi w:val="0"/>
        <w:spacing w:lineRule="auto" w:line="240"/>
        <w:jc w:val="start"/>
        <w:rPr/>
      </w:pPr>
      <w:r>
        <w:rPr/>
        <w:t>Место нахождения: 620085, Свердловская обл, г Екатеринбург, р-н Чкаловский, ул Братская, дом 16, корпус а.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620085, Свердловская обл, г Екатеринбург, р-н Чкаловский, ул Братская, дом 16, корпус а.</w:t>
      </w:r>
    </w:p>
    <w:p>
      <w:pPr>
        <w:pStyle w:val="variable"/>
        <w:bidi w:val="0"/>
        <w:jc w:val="start"/>
        <w:rPr/>
      </w:pPr>
      <w:r>
        <w:rPr/>
        <w:t>Контактная информация:</w:t>
      </w:r>
      <w:r>
        <w:rPr>
          <w:b w:val="false"/>
          <w:i w:val="false"/>
          <w:u w:val="none"/>
        </w:rPr>
        <w:t xml:space="preserve"> Фатуллаева О. В., тел.: +7 967 851-77-57, e-mail: 121-detsad@mail.ru</w:t>
      </w:r>
    </w:p>
    <w:p>
      <w:pPr>
        <w:pStyle w:val="variable"/>
        <w:bidi w:val="0"/>
        <w:jc w:val="start"/>
        <w:rPr/>
      </w:pPr>
      <w:r>
        <w:rPr/>
        <w:t>Сведения об операторе электронной площадки:</w:t>
      </w:r>
      <w:r>
        <w:rPr>
          <w:b w:val="false"/>
          <w:i w:val="false"/>
          <w:u w:val="none"/>
        </w:rPr>
        <w:t xml:space="preserve"> ООО «ТОРГИ-ОНЛАЙН» (ИНН: 0276944133, КПП: 027601001, ОГРН: 1190280048419).</w:t>
      </w:r>
    </w:p>
    <w:p>
      <w:pPr>
        <w:pStyle w:val="text"/>
        <w:bidi w:val="0"/>
        <w:spacing w:lineRule="auto" w:line="240"/>
        <w:jc w:val="start"/>
        <w:rPr/>
      </w:pPr>
      <w:r>
        <w:rPr/>
        <w:t>Юридический адрес: 450022 г. Уфа, улица Менделеева, 134/7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450022 г. Уфа, улица Менделеева, 134/7 офис 424</w:t>
      </w:r>
    </w:p>
    <w:p>
      <w:pPr>
        <w:pStyle w:val="text"/>
        <w:bidi w:val="0"/>
        <w:spacing w:lineRule="auto" w:line="240"/>
        <w:jc w:val="start"/>
        <w:rPr/>
      </w:pPr>
      <w:r>
        <w:rPr/>
        <w:t>Техническая поддержка: тел.: 8 (800) 250-15-35, эл. почта: info@torgi-online.com</w:t>
      </w:r>
    </w:p>
    <w:p>
      <w:pPr>
        <w:pStyle w:val="variable"/>
        <w:bidi w:val="0"/>
        <w:jc w:val="start"/>
        <w:rPr/>
      </w:pPr>
      <w:r>
        <w:rPr/>
        <w:t>Наименование закупки:</w:t>
      </w:r>
      <w:r>
        <w:rPr>
          <w:b w:val="false"/>
          <w:i w:val="false"/>
          <w:u w:val="none"/>
        </w:rPr>
        <w:t xml:space="preserve"> Поставка продуктов питания (хлеб)</w:t>
      </w:r>
    </w:p>
    <w:p>
      <w:pPr>
        <w:pStyle w:val="variable"/>
        <w:bidi w:val="0"/>
        <w:jc w:val="start"/>
        <w:rPr/>
      </w:pPr>
      <w:r>
        <w:rPr/>
        <w:t>Предмет договора (лота):</w:t>
      </w:r>
      <w:r>
        <w:rPr>
          <w:b w:val="false"/>
          <w:i w:val="false"/>
          <w:u w:val="none"/>
        </w:rPr>
        <w:t xml:space="preserve"> Поставка продуктов питания (хлеб).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Классификация товаров, работ, услуг: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402"/>
        <w:gridCol w:w="1998"/>
        <w:gridCol w:w="1469"/>
        <w:gridCol w:w="1360"/>
        <w:gridCol w:w="2140"/>
        <w:gridCol w:w="2269"/>
      </w:tblGrid>
      <w:tr>
        <w:trPr/>
        <w:tc>
          <w:tcPr>
            <w:tcW w:w="402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 xml:space="preserve">№ </w:t>
            </w:r>
            <w:r>
              <w:rPr>
                <w:b/>
              </w:rPr>
              <w:t>п/п</w:t>
            </w:r>
          </w:p>
        </w:tc>
        <w:tc>
          <w:tcPr>
            <w:tcW w:w="1998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Наименование</w:t>
            </w:r>
          </w:p>
        </w:tc>
        <w:tc>
          <w:tcPr>
            <w:tcW w:w="1469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Количество (ед. измерения)</w:t>
            </w:r>
          </w:p>
        </w:tc>
        <w:tc>
          <w:tcPr>
            <w:tcW w:w="1360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Вид требования</w:t>
            </w:r>
          </w:p>
        </w:tc>
        <w:tc>
          <w:tcPr>
            <w:tcW w:w="2140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Код ОКПД 2</w:t>
            </w:r>
          </w:p>
        </w:tc>
        <w:tc>
          <w:tcPr>
            <w:tcW w:w="2269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Код ОКВЭД 2</w:t>
            </w:r>
          </w:p>
        </w:tc>
      </w:tr>
      <w:tr>
        <w:trPr/>
        <w:tc>
          <w:tcPr>
            <w:tcW w:w="402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99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Батон "Подмосковный" или эквивалент</w:t>
            </w:r>
          </w:p>
        </w:tc>
        <w:tc>
          <w:tcPr>
            <w:tcW w:w="146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1200 (Килограмм)</w:t>
            </w:r>
          </w:p>
        </w:tc>
        <w:tc>
          <w:tcPr>
            <w:tcW w:w="136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4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10.71.11.121: Булочные изделия из пшеничной муки</w:t>
            </w:r>
          </w:p>
        </w:tc>
        <w:tc>
          <w:tcPr>
            <w:tcW w:w="226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10.71: Производство хлеба и мучных кондитерских изделий, тортов и пирожных недлительного хранения</w:t>
            </w:r>
          </w:p>
        </w:tc>
      </w:tr>
      <w:tr>
        <w:trPr/>
        <w:tc>
          <w:tcPr>
            <w:tcW w:w="402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99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Хлеб "Крестьянский" или эквивалент</w:t>
            </w:r>
          </w:p>
        </w:tc>
        <w:tc>
          <w:tcPr>
            <w:tcW w:w="146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800 (Килограмм)</w:t>
            </w:r>
          </w:p>
        </w:tc>
        <w:tc>
          <w:tcPr>
            <w:tcW w:w="136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4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10.71.11.111: Хлеб недлительного хранения из пшеничной муки</w:t>
            </w:r>
          </w:p>
        </w:tc>
        <w:tc>
          <w:tcPr>
            <w:tcW w:w="226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10.71: Производство хлеба и мучных кондитерских изделий, тортов и пирожных недлительного хранения</w:t>
            </w:r>
          </w:p>
        </w:tc>
      </w:tr>
      <w:tr>
        <w:trPr/>
        <w:tc>
          <w:tcPr>
            <w:tcW w:w="402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998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Хлеб «Чусовской» или эквивалент</w:t>
            </w:r>
          </w:p>
        </w:tc>
        <w:tc>
          <w:tcPr>
            <w:tcW w:w="146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1200 (Килограмм)</w:t>
            </w:r>
          </w:p>
        </w:tc>
        <w:tc>
          <w:tcPr>
            <w:tcW w:w="1360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40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10.71.11.112: Хлеб недлительного хранения из ржаной и смеси ржаной и пшеничной муки</w:t>
            </w:r>
          </w:p>
        </w:tc>
        <w:tc>
          <w:tcPr>
            <w:tcW w:w="226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10.71: Производство хлеба и мучных кондитерских изделий, тортов и пирожных недлительного хранения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p>
      <w:pPr>
        <w:pStyle w:val="variable"/>
        <w:bidi w:val="0"/>
        <w:jc w:val="start"/>
        <w:rPr/>
      </w:pPr>
      <w:r>
        <w:rPr/>
        <w:t>Количество поставляемого товара, объем выполняемых работ, оказываемых услуг:</w:t>
      </w:r>
      <w:r>
        <w:rPr>
          <w:b w:val="false"/>
          <w:i w:val="false"/>
          <w:u w:val="none"/>
        </w:rPr>
        <w:t xml:space="preserve"> Батон "Подмосковный" или эквивалент: 1200 Килограмм, Хлеб "Крестьянский" или эквивалент: 800 Килограмм, Хлеб «Чусовской» или эквивалент: 1200 Килограмм.</w:t>
      </w:r>
    </w:p>
    <w:p>
      <w:pPr>
        <w:pStyle w:val="variable"/>
        <w:bidi w:val="0"/>
        <w:jc w:val="start"/>
        <w:rPr/>
      </w:pPr>
      <w:r>
        <w:rPr/>
        <w:t>Начальная (максимальная) цена договора (лота):</w:t>
      </w:r>
      <w:r>
        <w:rPr>
          <w:b w:val="false"/>
          <w:i w:val="false"/>
          <w:u w:val="none"/>
        </w:rPr>
        <w:t xml:space="preserve"> 386 644.00 руб.</w:t>
      </w:r>
    </w:p>
    <w:p>
      <w:pPr>
        <w:pStyle w:val="variable"/>
        <w:bidi w:val="0"/>
        <w:jc w:val="start"/>
        <w:rPr/>
      </w:pPr>
      <w:r>
        <w:rPr/>
        <w:t>Особенности проведения закупки:</w:t>
      </w:r>
      <w:r>
        <w:rPr>
          <w:b w:val="false"/>
          <w:i w:val="false"/>
          <w:u w:val="none"/>
        </w:rPr>
        <w:t xml:space="preserve"> устанавливается преимущество в отношении товаров российского происхождения, выполняемых работ, оказываемых услуг российскими лицами; требуется декларация о соответствии участника закупки обязательным требованиям.</w:t>
      </w:r>
    </w:p>
    <w:p>
      <w:pPr>
        <w:pStyle w:val="variable"/>
        <w:bidi w:val="0"/>
        <w:jc w:val="start"/>
        <w:rPr/>
      </w:pPr>
      <w:r>
        <w:rPr/>
        <w:t>Срок предоставления документации о закупке:</w:t>
      </w:r>
      <w:r>
        <w:rPr>
          <w:b w:val="false"/>
          <w:i w:val="false"/>
          <w:u w:val="none"/>
        </w:rPr>
        <w:t xml:space="preserve"> с 27 ноября 2025 года по 15 декабря 2025 года.</w:t>
      </w:r>
    </w:p>
    <w:p>
      <w:pPr>
        <w:pStyle w:val="variable"/>
        <w:bidi w:val="0"/>
        <w:jc w:val="start"/>
        <w:rPr/>
      </w:pPr>
      <w:r>
        <w:rPr/>
        <w:t>Место предоставления документации о закупке:</w:t>
      </w:r>
      <w:r>
        <w:rPr>
          <w:b w:val="false"/>
          <w:i w:val="false"/>
          <w:u w:val="none"/>
        </w:rPr>
        <w:t xml:space="preserve"> ЭТП ТОРГИ-ОНЛАЙН https://etp.torgi-online.com.</w:t>
      </w:r>
    </w:p>
    <w:p>
      <w:pPr>
        <w:pStyle w:val="variable"/>
        <w:bidi w:val="0"/>
        <w:jc w:val="start"/>
        <w:rPr/>
      </w:pPr>
      <w:r>
        <w:rPr/>
        <w:t>Порядок предоставления документации о закупке:</w:t>
      </w:r>
      <w:r>
        <w:rPr>
          <w:b w:val="false"/>
          <w:i w:val="false"/>
          <w:u w:val="none"/>
        </w:rPr>
        <w:t xml:space="preserve"> В электронной форме.</w:t>
      </w:r>
    </w:p>
    <w:p>
      <w:pPr>
        <w:pStyle w:val="variable"/>
        <w:bidi w:val="0"/>
        <w:jc w:val="start"/>
        <w:rPr/>
      </w:pPr>
      <w:r>
        <w:rPr/>
        <w:t>Официальный сайт, на котором размещена документация о закупке:</w:t>
      </w:r>
      <w:r>
        <w:rPr>
          <w:b w:val="false"/>
          <w:i w:val="false"/>
          <w:u w:val="none"/>
        </w:rPr>
        <w:t xml:space="preserve"> https://etp.torgi-online.com/.</w:t>
      </w:r>
    </w:p>
    <w:p>
      <w:pPr>
        <w:pStyle w:val="variable"/>
        <w:bidi w:val="0"/>
        <w:jc w:val="start"/>
        <w:rPr/>
      </w:pPr>
      <w:r>
        <w:rPr/>
        <w:t>Размер, срок и порядок внесения платы за предоставление документации о закупке:</w:t>
      </w:r>
      <w:r>
        <w:rPr>
          <w:b w:val="false"/>
          <w:i w:val="false"/>
          <w:u w:val="none"/>
        </w:rPr>
        <w:t xml:space="preserve"> плата не установлена.</w:t>
      </w:r>
    </w:p>
    <w:p>
      <w:pPr>
        <w:pStyle w:val="variable"/>
        <w:bidi w:val="0"/>
        <w:jc w:val="start"/>
        <w:rPr/>
      </w:pPr>
      <w:r>
        <w:rPr/>
        <w:t>Место подачи заявок:</w:t>
      </w:r>
      <w:r>
        <w:rPr>
          <w:b w:val="false"/>
          <w:i w:val="false"/>
          <w:u w:val="none"/>
        </w:rPr>
        <w:t xml:space="preserve"> ЭТП ТОРГИ-ОНЛАЙН https://etp.torgi-online.com.</w:t>
      </w:r>
    </w:p>
    <w:p>
      <w:pPr>
        <w:pStyle w:val="variable"/>
        <w:bidi w:val="0"/>
        <w:jc w:val="start"/>
        <w:rPr/>
      </w:pPr>
      <w:r>
        <w:rPr/>
        <w:t>Дата начала подачи заявок:</w:t>
      </w:r>
      <w:r>
        <w:rPr>
          <w:b w:val="false"/>
          <w:i w:val="false"/>
          <w:u w:val="none"/>
        </w:rPr>
        <w:t xml:space="preserve"> 27 ноября 2025 года.</w:t>
      </w:r>
    </w:p>
    <w:p>
      <w:pPr>
        <w:pStyle w:val="variable"/>
        <w:bidi w:val="0"/>
        <w:jc w:val="start"/>
        <w:rPr/>
      </w:pPr>
      <w:r>
        <w:rPr/>
        <w:t>Дата и время окончания подачи заявок:</w:t>
      </w:r>
      <w:r>
        <w:rPr>
          <w:b w:val="false"/>
          <w:i w:val="false"/>
          <w:u w:val="none"/>
        </w:rPr>
        <w:t xml:space="preserve"> 15 декабря 2025 года в 10:00 MCK+2.</w:t>
      </w:r>
    </w:p>
    <w:p>
      <w:pPr>
        <w:pStyle w:val="variable"/>
        <w:bidi w:val="0"/>
        <w:jc w:val="start"/>
        <w:rPr/>
      </w:pPr>
      <w:r>
        <w:rPr/>
        <w:t>Место, дата и время рассмотрения заявок:</w:t>
      </w:r>
      <w:r>
        <w:rPr>
          <w:b w:val="false"/>
          <w:i w:val="false"/>
          <w:u w:val="none"/>
        </w:rPr>
        <w:t xml:space="preserve"> , 15 декабря 2025 года в 10:00 MCK+2.</w:t>
      </w:r>
    </w:p>
    <w:p>
      <w:pPr>
        <w:pStyle w:val="variable"/>
        <w:bidi w:val="0"/>
        <w:jc w:val="start"/>
        <w:rPr/>
      </w:pPr>
      <w:r>
        <w:rPr/>
        <w:t>Адрес сайта в сети «Интернет», на котором проводится закупка в электронной форме:</w:t>
      </w:r>
      <w:r>
        <w:rPr>
          <w:b w:val="false"/>
          <w:i w:val="false"/>
          <w:u w:val="none"/>
        </w:rPr>
        <w:t xml:space="preserve"> https://etp.torgi-online.com.</w:t>
      </w:r>
    </w:p>
    <w:p>
      <w:pPr>
        <w:pStyle w:val="variable"/>
        <w:bidi w:val="0"/>
        <w:jc w:val="start"/>
        <w:rPr/>
      </w:pPr>
      <w:r>
        <w:rPr/>
        <w:t>Дата и время начала проведения торгов:</w:t>
      </w:r>
      <w:r>
        <w:rPr>
          <w:b w:val="false"/>
          <w:i w:val="false"/>
          <w:u w:val="none"/>
        </w:rPr>
        <w:t xml:space="preserve"> 16 декабря 2025 года в 10:00 MCK+2.</w:t>
      </w:r>
    </w:p>
    <w:p>
      <w:pPr>
        <w:pStyle w:val="variable"/>
        <w:bidi w:val="0"/>
        <w:jc w:val="start"/>
        <w:rPr/>
      </w:pPr>
      <w:r>
        <w:rPr/>
        <w:t>Место, дата и время подведения итогов закупки:</w:t>
      </w:r>
      <w:r>
        <w:rPr>
          <w:b w:val="false"/>
          <w:i w:val="false"/>
          <w:u w:val="none"/>
        </w:rPr>
        <w:t xml:space="preserve"> 620085, Свердловская обл, г Екатеринбург, р-н Чкаловский, ул Братская, дом 16, корпус а, 15 декабря 2025 года в 17:03 MCK+2.</w:t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II. Сведения о результатах рассмотрения вторых частей заявок</w:t>
      </w:r>
    </w:p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572"/>
        <w:gridCol w:w="1919"/>
        <w:gridCol w:w="2902"/>
        <w:gridCol w:w="3245"/>
      </w:tblGrid>
      <w:tr>
        <w:trPr/>
        <w:tc>
          <w:tcPr>
            <w:tcW w:w="1572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Номер участника</w:t>
            </w:r>
          </w:p>
        </w:tc>
        <w:tc>
          <w:tcPr>
            <w:tcW w:w="1919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Предложение о цене</w:t>
            </w:r>
          </w:p>
        </w:tc>
        <w:tc>
          <w:tcPr>
            <w:tcW w:w="2902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Рейтинг участника по результатам торгов</w:t>
            </w:r>
          </w:p>
        </w:tc>
        <w:tc>
          <w:tcPr>
            <w:tcW w:w="324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Результат рассмотрения вторых частей заявок</w:t>
            </w:r>
          </w:p>
        </w:tc>
      </w:tr>
      <w:tr>
        <w:trPr/>
        <w:tc>
          <w:tcPr>
            <w:tcW w:w="1572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№31450</w:t>
            </w:r>
          </w:p>
        </w:tc>
        <w:tc>
          <w:tcPr>
            <w:tcW w:w="191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end"/>
              <w:rPr/>
            </w:pPr>
            <w:r>
              <w:rPr/>
              <w:t>386 644.00 руб.</w:t>
            </w:r>
          </w:p>
        </w:tc>
        <w:tc>
          <w:tcPr>
            <w:tcW w:w="2902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—</w:t>
            </w:r>
          </w:p>
        </w:tc>
        <w:tc>
          <w:tcPr>
            <w:tcW w:w="324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Допущена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text"/>
        <w:bidi w:val="0"/>
        <w:spacing w:lineRule="auto" w:line="24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III. Сведения о результатах подведения итогов закупки</w:t>
      </w:r>
    </w:p>
    <w:p>
      <w:pPr>
        <w:pStyle w:val="variable"/>
        <w:bidi w:val="0"/>
        <w:jc w:val="start"/>
        <w:rPr/>
      </w:pPr>
      <w:r>
        <w:rPr/>
        <w:t>Сведения о принятом на основании подведения итогов закупки решении о присвоении участникам закупки следующих порядковых номеров (по мере уменьшения степени выгодности содержащихся в них условий исполнения договора):</w:t>
      </w:r>
      <w:r>
        <w:rPr>
          <w:b w:val="false"/>
          <w:i w:val="false"/>
          <w:u w:val="none"/>
        </w:rPr>
        <w:t xml:space="preserve"> допущен и признан участником закупки единственный участник закупки.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jc w:val="start"/>
        <w:rPr>
          <w:b/>
        </w:rPr>
      </w:pPr>
      <w:r>
        <w:rPr>
          <w:b/>
        </w:rPr>
        <w:t>Сведения об участниках закупки, которым присвоены первый и второй порядковые номера: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5310"/>
        <w:gridCol w:w="4328"/>
      </w:tblGrid>
      <w:tr>
        <w:trPr/>
        <w:tc>
          <w:tcPr>
            <w:tcW w:w="5310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первый порядковый номер (победитель)</w:t>
            </w:r>
          </w:p>
        </w:tc>
        <w:tc>
          <w:tcPr>
            <w:tcW w:w="4328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второй порядковый номер</w:t>
            </w:r>
          </w:p>
        </w:tc>
      </w:tr>
      <w:tr>
        <w:trPr/>
        <w:tc>
          <w:tcPr>
            <w:tcW w:w="5310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№31450, - 09.12.2025 15:59 MCK+2</w:t>
              <w:br/>
            </w:r>
            <w:r>
              <w:rPr>
                <w:u w:val="single"/>
              </w:rPr>
              <w:t>Предложение о цене договора (лота):</w:t>
            </w:r>
            <w:r>
              <w:rPr/>
              <w:br/>
              <w:t>386 644.00 руб.</w:t>
            </w:r>
          </w:p>
        </w:tc>
        <w:tc>
          <w:tcPr>
            <w:tcW w:w="4328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отсутствует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IV. Сведения о признании закупки несостоявшейся</w:t>
      </w:r>
    </w:p>
    <w:p>
      <w:pPr>
        <w:pStyle w:val="text"/>
        <w:bidi w:val="0"/>
        <w:spacing w:lineRule="auto" w:line="240"/>
        <w:jc w:val="start"/>
        <w:rPr/>
      </w:pPr>
      <w:r>
        <w:rPr/>
        <w:t>Конкурентная закупка признана несостоявшейся в связи с тем, что на участие в закупке подана только одна заявка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jc w:val="start"/>
        <w:rPr>
          <w:b/>
        </w:rPr>
      </w:pPr>
      <w:r>
        <w:rPr>
          <w:b/>
        </w:rPr>
        <w:t>Состав комиссии: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900"/>
        <w:gridCol w:w="4979"/>
        <w:gridCol w:w="1759"/>
      </w:tblGrid>
      <w:tr>
        <w:trPr/>
        <w:tc>
          <w:tcPr>
            <w:tcW w:w="9638" w:type="dxa"/>
            <w:gridSpan w:val="3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Комиссия</w:t>
            </w:r>
          </w:p>
        </w:tc>
      </w:tr>
      <w:tr>
        <w:trPr/>
        <w:tc>
          <w:tcPr>
            <w:tcW w:w="290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Роль в комиссии</w:t>
            </w:r>
          </w:p>
        </w:tc>
        <w:tc>
          <w:tcPr>
            <w:tcW w:w="497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Ф.И.О.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Подпись</w:t>
            </w:r>
          </w:p>
        </w:tc>
      </w:tr>
      <w:tr>
        <w:trPr/>
        <w:tc>
          <w:tcPr>
            <w:tcW w:w="290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Председатель комиссии</w:t>
            </w:r>
          </w:p>
        </w:tc>
        <w:tc>
          <w:tcPr>
            <w:tcW w:w="497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Фатуллаева Ольга Владимировна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7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Антропова Татьяна Вадимировна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7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Грунская Светлана Валерьевна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7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Рахматуллина Светлана Дамировна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0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7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Ульянова Ульяна Сергеевна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Arial">
    <w:charset w:val="01"/>
    <w:family w:val="swiss"/>
    <w:pitch w:val="default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val="bestFit" w:percent="20"/>
  <w:defaultTabStop w:val="709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kinsoku w:val="true"/>
      <w:overflowPunct w:val="true"/>
      <w:autoSpaceDE w:val="true"/>
      <w:bidi w:val="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outlineLvl w:val="0"/>
    </w:pPr>
    <w:rPr>
      <w:b/>
      <w:bCs/>
      <w:sz w:val="32"/>
      <w:szCs w:val="32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outlineLvl w:val="1"/>
    </w:pPr>
    <w:rPr>
      <w:b/>
      <w:bCs/>
      <w:i/>
      <w:iCs/>
      <w:sz w:val="28"/>
      <w:szCs w:val="2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outlineLvl w:val="2"/>
    </w:pPr>
    <w:rPr>
      <w:b/>
      <w:bCs/>
      <w:sz w:val="28"/>
      <w:szCs w:val="28"/>
    </w:rPr>
  </w:style>
  <w:style w:type="character" w:styleId="NumberingSymbols">
    <w:name w:val="Numbering Symbols"/>
    <w:qFormat/>
    <w:rPr/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FollowedHyperlink">
    <w:name w:val="FollowedHyperlink"/>
    <w:rPr>
      <w:color w:val="800000"/>
      <w:u w:val="single"/>
      <w:lang w:val="zxx" w:eastAsia="zxx" w:bidi="zxx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Lucida Sans Unicode" w:cs="Tahoma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ascii="Arial" w:hAnsi="Arial"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cs="Tahoma"/>
      <w:i/>
      <w:iCs/>
      <w:sz w:val="20"/>
      <w:szCs w:val="24"/>
    </w:rPr>
  </w:style>
  <w:style w:type="paragraph" w:styleId="Index">
    <w:name w:val="Index"/>
    <w:basedOn w:val="Normal"/>
    <w:qFormat/>
    <w:pPr>
      <w:suppressLineNumbers/>
    </w:pPr>
    <w:rPr>
      <w:rFonts w:ascii="Arial" w:hAnsi="Arial" w:cs="Tahoma"/>
    </w:rPr>
  </w:style>
  <w:style w:type="paragraph" w:styleId="BodyTextFirstIndent">
    <w:name w:val="Body Text First Indent"/>
    <w:basedOn w:val="BodyText"/>
    <w:pPr>
      <w:ind w:firstLine="283" w:start="0" w:end="0"/>
    </w:pPr>
    <w:rPr/>
  </w:style>
  <w:style w:type="paragraph" w:styleId="WW-Heading">
    <w:name w:val="WW-Heading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DejaVu Sans" w:cs="DejaVu Sans"/>
      <w:sz w:val="28"/>
      <w:szCs w:val="28"/>
    </w:rPr>
  </w:style>
  <w:style w:type="paragraph" w:styleId="Subtitle">
    <w:name w:val="Subtitle"/>
    <w:basedOn w:val="Heading"/>
    <w:next w:val="BodyText"/>
    <w:qFormat/>
    <w:pPr>
      <w:jc w:val="center"/>
    </w:pPr>
    <w:rPr>
      <w:i/>
      <w:iCs/>
      <w:sz w:val="28"/>
      <w:szCs w:val="28"/>
    </w:rPr>
  </w:style>
  <w:style w:type="paragraph" w:styleId="Bibliography1">
    <w:name w:val="Bibliography 1"/>
    <w:basedOn w:val="Index"/>
    <w:qFormat/>
    <w:pPr>
      <w:tabs>
        <w:tab w:val="clear" w:pos="709"/>
        <w:tab w:val="right" w:pos="9637" w:leader="dot"/>
      </w:tabs>
      <w:ind w:hanging="0" w:start="0" w:end="0"/>
    </w:pPr>
    <w:rPr/>
  </w:style>
  <w:style w:type="paragraph" w:styleId="publication">
    <w:name w:val="publication"/>
    <w:basedOn w:val="Normal"/>
    <w:next w:val="text"/>
    <w:qFormat/>
    <w:pPr>
      <w:pBdr/>
      <w:spacing w:lineRule="auto" w:line="240"/>
    </w:pPr>
    <w:rPr>
      <w:rFonts w:ascii="Arial" w:hAnsi="Arial" w:cs="Arial"/>
      <w:b w:val="false"/>
      <w:color w:val="FFFFFF"/>
      <w:sz w:val="22"/>
      <w:shd w:fill="000000" w:val="clear"/>
    </w:rPr>
  </w:style>
  <w:style w:type="paragraph" w:styleId="text">
    <w:name w:val="text"/>
    <w:qFormat/>
    <w:pPr>
      <w:widowControl w:val="false"/>
      <w:suppressAutoHyphens w:val="true"/>
      <w:kinsoku w:val="true"/>
      <w:overflowPunct w:val="true"/>
      <w:autoSpaceDE w:val="true"/>
      <w:bidi w:val="0"/>
      <w:spacing w:lineRule="auto" w:line="24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layout0">
    <w:name w:val="layout0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>
      <w:b/>
      <w:sz w:val="32"/>
    </w:rPr>
  </w:style>
  <w:style w:type="paragraph" w:styleId="layout1">
    <w:name w:val="layout1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layout2">
    <w:name w:val="layout2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messagecaption">
    <w:name w:val="messagecaption"/>
    <w:basedOn w:val="text"/>
    <w:next w:val="text"/>
    <w:qFormat/>
    <w:pPr>
      <w:spacing w:lineRule="atLeast" w:line="0"/>
      <w:jc w:val="center"/>
    </w:pPr>
    <w:rPr>
      <w:b/>
      <w:caps/>
    </w:rPr>
  </w:style>
  <w:style w:type="paragraph" w:styleId="messagesubcaption">
    <w:name w:val="messagesubcaption"/>
    <w:basedOn w:val="text"/>
    <w:next w:val="text"/>
    <w:qFormat/>
    <w:pPr>
      <w:jc w:val="center"/>
    </w:pPr>
    <w:rPr>
      <w:b w:val="false"/>
      <w:caps w:val="false"/>
      <w:smallCaps w:val="false"/>
    </w:rPr>
  </w:style>
  <w:style w:type="paragraph" w:styleId="print">
    <w:name w:val="print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printChapter">
    <w:name w:val="printChapter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>
      <w:sz w:val="28"/>
    </w:rPr>
  </w:style>
  <w:style w:type="paragraph" w:styleId="printSubChapter">
    <w:name w:val="printSubChapter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variable">
    <w:name w:val="variable"/>
    <w:basedOn w:val="text"/>
    <w:next w:val="text"/>
    <w:qFormat/>
    <w:pPr/>
    <w:rPr>
      <w:b/>
    </w:rPr>
  </w:style>
  <w:style w:type="paragraph" w:styleId="Text1">
    <w:name w:val="Text1"/>
    <w:basedOn w:val="Caption"/>
    <w:qFormat/>
    <w:pPr/>
    <w:rPr/>
  </w:style>
  <w:style w:type="paragraph" w:styleId="centered">
    <w:name w:val="centered"/>
    <w:basedOn w:val="text"/>
    <w:next w:val="text"/>
    <w:qFormat/>
    <w:pPr>
      <w:jc w:val="center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ListContents">
    <w:name w:val="List Contents"/>
    <w:basedOn w:val="Normal"/>
    <w:qFormat/>
    <w:pPr>
      <w:ind w:hanging="0" w:start="567" w:end="0"/>
    </w:pPr>
    <w:rPr/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2025-12-15T12:03:46Z</dcterms:created>
  <dc:creator/>
  <dc:description/>
  <dc:language>en-US</dc:language>
  <cp:lastModifiedBy/>
  <dcterms:modified xsi:type="dcterms:W3CDTF">2025-12-15T12:03:47Z</dcterms:modified>
  <cp:revision>2</cp:revision>
  <dc:subject/>
  <dc:title/>
</cp:coreProperties>
</file>