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7230"/>
        <w:gridCol w:w="2693"/>
      </w:tblGrid>
      <w:tr>
        <w:trPr>
          <w:trHeight w:val="1245" w:hRule="atLeast"/>
        </w:trPr>
        <w:tc>
          <w:tcPr>
            <w:tcW w:w="7230" w:type="dxa"/>
            <w:tcBorders/>
          </w:tcPr>
          <w:p>
            <w:pPr>
              <w:pStyle w:val="Normal"/>
              <w:snapToGrid w:val="false"/>
              <w:spacing w:before="0" w:after="0"/>
              <w:contextualSpacing/>
              <w:rPr>
                <w:rFonts w:ascii="PF Din Text Cond Pro Light;Calibri" w:hAnsi="PF Din Text Cond Pro Light;Calibri" w:cs="PF Din Text Cond Pro Light;Calibri"/>
                <w:lang w:val="en-US" w:eastAsia="en-US"/>
              </w:rPr>
            </w:pPr>
            <w:r>
              <w:rPr>
                <w:rFonts w:cs="PF Din Text Cond Pro Light;Calibri" w:ascii="PF Din Text Cond Pro Light;Calibri" w:hAnsi="PF Din Text Cond Pro Light;Calibri"/>
                <w:lang w:val="en-US" w:eastAsia="en-US"/>
              </w:rPr>
              <w:drawing>
                <wp:anchor behindDoc="1" distT="0" distB="0" distL="114935" distR="114935" simplePos="0" locked="0" layoutInCell="1" allowOverlap="1" relativeHeight="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5080</wp:posOffset>
                  </wp:positionV>
                  <wp:extent cx="1657985" cy="707390"/>
                  <wp:effectExtent l="0" t="0" r="0" b="0"/>
                  <wp:wrapNone/>
                  <wp:docPr id="1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2" t="-51" r="-22" b="-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985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spacing w:before="0" w:after="0"/>
              <w:contextualSpacing/>
              <w:rPr>
                <w:rFonts w:ascii="PF Din Text Cond Pro Light;Calibri" w:hAnsi="PF Din Text Cond Pro Light;Calibri" w:cs="PF Din Text Cond Pro Light;Calibri"/>
              </w:rPr>
            </w:pPr>
            <w:r>
              <w:rPr>
                <w:rFonts w:cs="PF Din Text Cond Pro Light;Calibri" w:ascii="PF Din Text Cond Pro Light;Calibri" w:hAnsi="PF Din Text Cond Pro Light;Calibri"/>
              </w:rPr>
            </w:r>
          </w:p>
          <w:p>
            <w:pPr>
              <w:pStyle w:val="Normal"/>
              <w:spacing w:before="0" w:after="0"/>
              <w:contextualSpacing/>
              <w:rPr>
                <w:rFonts w:ascii="PF Din Text Cond Pro Light;Calibri" w:hAnsi="PF Din Text Cond Pro Light;Calibri" w:cs="PF Din Text Cond Pro Light;Calibri"/>
              </w:rPr>
            </w:pPr>
            <w:r>
              <w:rPr>
                <w:rFonts w:cs="PF Din Text Cond Pro Light;Calibri" w:ascii="PF Din Text Cond Pro Light;Calibri" w:hAnsi="PF Din Text Cond Pro Light;Calibri"/>
              </w:rPr>
            </w:r>
          </w:p>
          <w:p>
            <w:pPr>
              <w:pStyle w:val="Normal"/>
              <w:spacing w:before="0" w:after="0"/>
              <w:ind w:start="-105" w:end="0"/>
              <w:contextualSpacing/>
              <w:rPr>
                <w:rFonts w:ascii="PF Din Text Cond Pro Light;Calibri" w:hAnsi="PF Din Text Cond Pro Light;Calibri" w:cs="PF Din Text Cond Pro Light;Calibri"/>
              </w:rPr>
            </w:pPr>
            <w:r>
              <w:rPr>
                <w:rFonts w:cs="PF Din Text Cond Pro Light;Calibri" w:ascii="PF Din Text Cond Pro Light;Calibri" w:hAnsi="PF Din Text Cond Pro Light;Calibri"/>
              </w:rPr>
            </w:r>
          </w:p>
        </w:tc>
        <w:tc>
          <w:tcPr>
            <w:tcW w:w="2693" w:type="dxa"/>
            <w:tcBorders/>
          </w:tcPr>
          <w:p>
            <w:pPr>
              <w:pStyle w:val="Normal"/>
              <w:spacing w:lineRule="auto" w:line="240" w:before="0" w:after="0"/>
              <w:ind w:hanging="0" w:end="0"/>
              <w:contextualSpacing/>
              <w:jc w:val="start"/>
              <w:rPr>
                <w:rFonts w:ascii="PF Din Text Cond Pro Light;Calibri" w:hAnsi="PF Din Text Cond Pro Light;Calibri" w:cs="PF Din Text Cond Pro Light;Calibri"/>
                <w:sz w:val="18"/>
                <w:szCs w:val="18"/>
              </w:rPr>
            </w:pPr>
            <w:r>
              <w:rPr>
                <w:rFonts w:cs="PF Din Text Cond Pro Light;Calibri" w:ascii="PF Din Text Cond Pro Light;Calibri" w:hAnsi="PF Din Text Cond Pro Light;Calibri"/>
                <w:sz w:val="18"/>
                <w:szCs w:val="18"/>
              </w:rPr>
              <w:t>Публичное акционерное общество «Россети Центр»</w:t>
            </w:r>
          </w:p>
          <w:p>
            <w:pPr>
              <w:pStyle w:val="Normal"/>
              <w:spacing w:lineRule="auto" w:line="240" w:before="0" w:after="0"/>
              <w:ind w:hanging="0" w:end="0"/>
              <w:contextualSpacing/>
              <w:jc w:val="start"/>
              <w:rPr>
                <w:rFonts w:ascii="PF Din Text Cond Pro Light;Calibri" w:hAnsi="PF Din Text Cond Pro Light;Calibri" w:cs="PF Din Text Cond Pro Light;Calibri"/>
                <w:sz w:val="18"/>
                <w:szCs w:val="18"/>
              </w:rPr>
            </w:pPr>
            <w:r>
              <w:rPr>
                <w:rFonts w:cs="PF Din Text Cond Pro Light;Calibri" w:ascii="PF Din Text Cond Pro Light;Calibri" w:hAnsi="PF Din Text Cond Pro Light;Calibri"/>
                <w:sz w:val="18"/>
                <w:szCs w:val="18"/>
              </w:rPr>
              <w:t>Филиал ПАО «Россети Центр» - «Тамбовэнерго»</w:t>
            </w:r>
          </w:p>
          <w:p>
            <w:pPr>
              <w:pStyle w:val="Normal"/>
              <w:spacing w:before="0" w:after="0"/>
              <w:ind w:end="747"/>
              <w:contextualSpacing/>
              <w:rPr>
                <w:rFonts w:ascii="PF Din Text Cond Pro Light;Calibri" w:hAnsi="PF Din Text Cond Pro Light;Calibri" w:cs="PF Din Text Cond Pro Light;Calibri"/>
                <w:sz w:val="18"/>
                <w:szCs w:val="18"/>
              </w:rPr>
            </w:pPr>
            <w:r>
              <w:rPr>
                <w:rFonts w:cs="PF Din Text Cond Pro Light;Calibri" w:ascii="PF Din Text Cond Pro Light;Calibri" w:hAnsi="PF Din Text Cond Pro Light;Calibri"/>
                <w:sz w:val="18"/>
                <w:szCs w:val="18"/>
              </w:rPr>
            </w:r>
          </w:p>
        </w:tc>
      </w:tr>
      <w:tr>
        <w:trPr/>
        <w:tc>
          <w:tcPr>
            <w:tcW w:w="9923" w:type="dxa"/>
            <w:gridSpan w:val="2"/>
            <w:tcBorders/>
          </w:tcPr>
          <w:p>
            <w:pPr>
              <w:pStyle w:val="Normal"/>
              <w:spacing w:before="0" w:after="0"/>
              <w:contextualSpacing/>
              <w:jc w:val="center"/>
              <w:rPr>
                <w:rFonts w:ascii="PF Din Text Cond Pro;Calibri" w:hAnsi="PF Din Text Cond Pro;Calibri" w:eastAsia="Cambria" w:cs="Helios-Regular;Times New Roman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eastAsia="Cambria" w:cs="Helios-Regular;Times New Roman" w:ascii="PF Din Text Cond Pro;Calibri" w:hAnsi="PF Din Text Cond Pro;Calibri"/>
                <w:b/>
                <w:bCs/>
                <w:color w:val="000000"/>
                <w:sz w:val="22"/>
                <w:szCs w:val="22"/>
                <w:lang w:eastAsia="en-US"/>
              </w:rPr>
              <w:t>ПРОТОКОЛ</w:t>
            </w:r>
          </w:p>
          <w:p>
            <w:pPr>
              <w:pStyle w:val="Style36"/>
              <w:spacing w:lineRule="auto" w:line="240"/>
              <w:jc w:val="center"/>
              <w:rPr/>
            </w:pPr>
            <w:r>
              <w:rPr>
                <w:rFonts w:cs="Helios-Regular;Times New Roman" w:ascii="PF Din Text Cond Pro;Calibri" w:hAnsi="PF Din Text Cond Pro;Calibri"/>
                <w:b/>
                <w:bCs/>
                <w:sz w:val="22"/>
                <w:szCs w:val="22"/>
              </w:rPr>
              <w:t xml:space="preserve">очного заседания Закупочной комиссии по рассмотрению </w:t>
            </w:r>
          </w:p>
          <w:p>
            <w:pPr>
              <w:pStyle w:val="Style36"/>
              <w:jc w:val="center"/>
              <w:rPr/>
            </w:pPr>
            <w:r>
              <w:rPr>
                <w:rFonts w:cs="Helios-Regular;Times New Roman" w:ascii="PF Din Text Cond Pro;Calibri" w:hAnsi="PF Din Text Cond Pro;Calibri"/>
                <w:b/>
                <w:bCs/>
                <w:sz w:val="22"/>
                <w:szCs w:val="22"/>
              </w:rPr>
              <w:t>ценовых предложений участников и</w:t>
            </w:r>
            <w:r>
              <w:rPr>
                <w:rFonts w:cs="Helios-Regular;Times New Roman" w:ascii="Calibri" w:hAnsi="Calibri"/>
                <w:b/>
                <w:bCs/>
                <w:sz w:val="22"/>
                <w:szCs w:val="22"/>
              </w:rPr>
              <w:t xml:space="preserve"> по</w:t>
            </w:r>
            <w:r>
              <w:rPr>
                <w:rFonts w:cs="Helios-Regular;Times New Roman" w:ascii="PF Din Text Cond Pro;Calibri" w:hAnsi="PF Din Text Cond Pro;Calibri"/>
                <w:b/>
                <w:bCs/>
                <w:sz w:val="22"/>
                <w:szCs w:val="22"/>
              </w:rPr>
              <w:t xml:space="preserve"> </w:t>
            </w:r>
          </w:p>
          <w:p>
            <w:pPr>
              <w:pStyle w:val="Style36"/>
              <w:jc w:val="center"/>
              <w:rPr>
                <w:rFonts w:ascii="Calibri" w:hAnsi="Calibri" w:cs="Helios-Regular;Times New Roman"/>
                <w:b/>
                <w:bCs/>
                <w:sz w:val="22"/>
                <w:szCs w:val="22"/>
              </w:rPr>
            </w:pPr>
            <w:r>
              <w:rPr>
                <w:rFonts w:cs="Helios-Regular;Times New Roman" w:ascii="Calibri" w:hAnsi="Calibri"/>
                <w:b/>
                <w:bCs/>
                <w:sz w:val="22"/>
                <w:szCs w:val="22"/>
              </w:rPr>
              <w:t>подведению итогов закупочной процедуры</w:t>
            </w:r>
          </w:p>
          <w:tbl>
            <w:tblPr>
              <w:tblW w:w="9815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5704"/>
              <w:gridCol w:w="4111"/>
            </w:tblGrid>
            <w:tr>
              <w:trPr/>
              <w:tc>
                <w:tcPr>
                  <w:tcW w:w="5704" w:type="dxa"/>
                  <w:tcBorders/>
                </w:tcPr>
                <w:p>
                  <w:pPr>
                    <w:pStyle w:val="Style36"/>
                    <w:rPr>
                      <w:rFonts w:ascii="PF Din Text Cond Pro;Calibri" w:hAnsi="PF Din Text Cond Pro;Calibri" w:cs="Helios-Regular;Times New Roman"/>
                      <w:color w:val="000000"/>
                      <w:sz w:val="22"/>
                      <w:szCs w:val="22"/>
                    </w:rPr>
                  </w:pPr>
                  <w:r>
                    <w:rPr>
                      <w:rFonts w:cs="Helios-Regular;Times New Roman" w:ascii="PF Din Text Cond Pro;Calibri" w:hAnsi="PF Din Text Cond Pro;Calibri"/>
                      <w:color w:val="000000"/>
                      <w:sz w:val="22"/>
                      <w:szCs w:val="22"/>
                    </w:rPr>
                    <w:t xml:space="preserve">Дата проведения заседания: </w:t>
                  </w:r>
                  <w:r>
                    <w:rPr>
                      <w:rFonts w:cs="Helios-Regular;Times New Roman" w:ascii="Calibri" w:hAnsi="Calibri"/>
                      <w:color w:val="000000"/>
                      <w:sz w:val="22"/>
                      <w:szCs w:val="22"/>
                    </w:rPr>
                    <w:t>12.12.2025</w:t>
                  </w:r>
                </w:p>
                <w:p>
                  <w:pPr>
                    <w:pStyle w:val="Style36"/>
                    <w:spacing w:lineRule="auto" w:line="240"/>
                    <w:rPr>
                      <w:rFonts w:ascii="PF Din Text Cond Pro;Calibri" w:hAnsi="PF Din Text Cond Pro;Calibri" w:cs="Helios-Regular;Times New Roman"/>
                      <w:sz w:val="22"/>
                      <w:szCs w:val="22"/>
                    </w:rPr>
                  </w:pPr>
                  <w:r>
                    <w:rPr>
                      <w:rFonts w:cs="Helios-Regular;Times New Roman" w:ascii="PF Din Text Cond Pro;Calibri" w:hAnsi="PF Din Text Cond Pro;Calibri"/>
                      <w:sz w:val="22"/>
                      <w:szCs w:val="22"/>
                    </w:rPr>
                    <w:t xml:space="preserve">Дата подписания протокола: </w:t>
                  </w:r>
                  <w:r>
                    <w:rPr>
                      <w:rFonts w:cs="Helios-Regular;Times New Roman" w:ascii="Calibri" w:hAnsi="Calibri"/>
                      <w:sz w:val="22"/>
                      <w:szCs w:val="22"/>
                    </w:rPr>
                    <w:t>12.12</w:t>
                  </w:r>
                  <w:r>
                    <w:rPr>
                      <w:rFonts w:cs="Helios-Regular;Times New Roman" w:ascii="Calibri" w:hAnsi="Calibri"/>
                      <w:color w:val="000000"/>
                      <w:sz w:val="22"/>
                      <w:szCs w:val="22"/>
                    </w:rPr>
                    <w:t>.2025</w:t>
                  </w:r>
                </w:p>
              </w:tc>
              <w:tc>
                <w:tcPr>
                  <w:tcW w:w="4111" w:type="dxa"/>
                  <w:tcBorders/>
                  <w:vAlign w:val="bottom"/>
                </w:tcPr>
                <w:p>
                  <w:pPr>
                    <w:pStyle w:val="Style36"/>
                    <w:spacing w:lineRule="auto" w:line="240"/>
                    <w:jc w:val="end"/>
                    <w:rPr>
                      <w:rFonts w:ascii="Calibri" w:hAnsi="Calibri" w:cs="Helios-Regular;Times New Roman"/>
                      <w:sz w:val="22"/>
                      <w:szCs w:val="22"/>
                    </w:rPr>
                  </w:pPr>
                  <w:r>
                    <w:rPr>
                      <w:rFonts w:cs="Helios-Regular;Times New Roman" w:ascii="PF Din Text Cond Pro;Calibri" w:hAnsi="PF Din Text Cond Pro;Calibri"/>
                      <w:color w:val="000000"/>
                      <w:sz w:val="22"/>
                      <w:szCs w:val="22"/>
                    </w:rPr>
                    <w:t xml:space="preserve">№ </w:t>
                  </w:r>
                  <w:r>
                    <w:rPr>
                      <w:rFonts w:cs="Helios-Regular;Times New Roman" w:ascii="Calibri" w:hAnsi="Calibri"/>
                      <w:color w:val="000000"/>
                      <w:sz w:val="22"/>
                      <w:szCs w:val="22"/>
                    </w:rPr>
                    <w:t>0245-ТА-25-2</w:t>
                  </w:r>
                </w:p>
              </w:tc>
            </w:tr>
          </w:tbl>
          <w:p>
            <w:pPr>
              <w:pStyle w:val="Normal"/>
              <w:spacing w:before="0" w:after="0"/>
              <w:contextualSpacing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eastAsia="Cambria" w:cs="Helios-Regular;Times New Roman" w:ascii="Calibri" w:hAnsi="Calibri"/>
                <w:color w:val="000000"/>
                <w:sz w:val="22"/>
                <w:szCs w:val="22"/>
                <w:lang w:eastAsia="en-US"/>
              </w:rPr>
              <w:t>Тамбов</w:t>
            </w:r>
          </w:p>
        </w:tc>
      </w:tr>
    </w:tbl>
    <w:p>
      <w:pPr>
        <w:pStyle w:val="BodyText"/>
        <w:widowControl w:val="false"/>
        <w:ind w:firstLine="426" w:end="-6"/>
        <w:jc w:val="both"/>
        <w:rPr/>
      </w:pPr>
      <w:r>
        <w:rPr>
          <w:b/>
          <w:caps/>
          <w:sz w:val="22"/>
          <w:szCs w:val="22"/>
        </w:rPr>
        <w:t>способ и</w:t>
      </w:r>
      <w:r>
        <w:rPr>
          <w:sz w:val="22"/>
          <w:szCs w:val="22"/>
        </w:rPr>
        <w:t xml:space="preserve"> </w:t>
      </w:r>
      <w:r>
        <w:rPr>
          <w:b/>
          <w:caps/>
          <w:sz w:val="22"/>
          <w:szCs w:val="22"/>
        </w:rPr>
        <w:t>ПРЕДМЕТ закупки:</w:t>
      </w:r>
      <w:r>
        <w:rPr>
          <w:sz w:val="22"/>
          <w:szCs w:val="22"/>
        </w:rPr>
        <w:t xml:space="preserve"> запрос цен </w:t>
      </w:r>
      <w:bookmarkStart w:id="0" w:name="_Hlk195624775"/>
      <w:r>
        <w:rPr>
          <w:sz w:val="22"/>
          <w:szCs w:val="22"/>
        </w:rPr>
        <w:t>по результатам конкурентного предварительного отбора</w:t>
      </w:r>
      <w:bookmarkEnd w:id="0"/>
      <w:r>
        <w:rPr>
          <w:sz w:val="22"/>
          <w:szCs w:val="22"/>
        </w:rPr>
        <w:t xml:space="preserve"> на право заключения Договора </w:t>
      </w:r>
      <w:bookmarkStart w:id="1" w:name="_Hlk145422595"/>
      <w:r>
        <w:rPr>
          <w:sz w:val="22"/>
          <w:szCs w:val="22"/>
        </w:rPr>
        <w:t xml:space="preserve">на </w:t>
      </w:r>
      <w:bookmarkEnd w:id="1"/>
      <w:r>
        <w:rPr>
          <w:b/>
          <w:bCs/>
          <w:sz w:val="22"/>
          <w:szCs w:val="22"/>
        </w:rPr>
        <w:t>выполнение работ «под ключ» для исполнения обязательств по технологическому присоединению 9 заявителей (Г) (лот 8500016865)</w:t>
      </w:r>
      <w:r>
        <w:rPr>
          <w:sz w:val="22"/>
          <w:szCs w:val="22"/>
        </w:rPr>
        <w:t xml:space="preserve"> для нужд ПАО «Россети Центр» (филиала «Тамбовэнерго»).</w:t>
      </w:r>
    </w:p>
    <w:p>
      <w:pPr>
        <w:pStyle w:val="Style24"/>
        <w:widowControl w:val="false"/>
        <w:tabs>
          <w:tab w:val="clear" w:pos="567"/>
          <w:tab w:val="left" w:pos="426" w:leader="none"/>
        </w:tabs>
        <w:spacing w:lineRule="auto" w:line="240"/>
        <w:ind w:firstLine="426" w:end="-6"/>
        <w:rPr>
          <w:sz w:val="22"/>
          <w:szCs w:val="22"/>
        </w:rPr>
      </w:pPr>
      <w:bookmarkStart w:id="2" w:name="_Hlk174016475"/>
      <w:bookmarkEnd w:id="2"/>
      <w:r>
        <w:rPr>
          <w:sz w:val="22"/>
          <w:szCs w:val="22"/>
        </w:rPr>
        <w:t>Запрос цен проводится на основании Распоряжения от №ТБ-33/435-р от 02.12.2025 года.</w:t>
      </w:r>
    </w:p>
    <w:p>
      <w:pPr>
        <w:pStyle w:val="BodyText"/>
        <w:ind w:end="-6"/>
        <w:rPr/>
      </w:pPr>
      <w:r>
        <w:rPr>
          <w:b/>
          <w:sz w:val="22"/>
          <w:szCs w:val="22"/>
        </w:rPr>
        <w:t xml:space="preserve">Заказчик и Организатор закупки (далее – Организатор): </w:t>
      </w:r>
      <w:r>
        <w:rPr>
          <w:sz w:val="22"/>
          <w:szCs w:val="22"/>
        </w:rPr>
        <w:t xml:space="preserve">ПАО «Россети Центр». </w:t>
      </w:r>
    </w:p>
    <w:p>
      <w:pPr>
        <w:pStyle w:val="BodyText"/>
        <w:ind w:end="-6"/>
        <w:jc w:val="both"/>
        <w:rPr>
          <w:sz w:val="22"/>
          <w:szCs w:val="22"/>
        </w:rPr>
      </w:pPr>
      <w:r>
        <w:rPr>
          <w:sz w:val="22"/>
          <w:szCs w:val="22"/>
        </w:rPr>
        <w:t>Место нахождения/почтовый адрес: РФ, 392030, г. Тамбов, ул. Моршанское шоссе, 23.</w:t>
      </w:r>
    </w:p>
    <w:p>
      <w:pPr>
        <w:pStyle w:val="Style24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/>
      </w:pPr>
      <w:bookmarkStart w:id="3" w:name="_Hlk145422621"/>
      <w:bookmarkStart w:id="4" w:name="_Hlk129955070"/>
      <w:bookmarkEnd w:id="3"/>
      <w:r>
        <w:rPr>
          <w:sz w:val="22"/>
          <w:szCs w:val="22"/>
        </w:rPr>
        <w:t xml:space="preserve">Извещение о проведении запроса цен было разработано Организатором, утверждено протоколом заседания Закупочной комиссии от 02.12.2025 № 0245-ТА-25, опубликовано 02.12.2025 на официальном сайте Единой информационной системы в сфере закупок </w:t>
      </w:r>
      <w:hyperlink r:id="rId3">
        <w:r>
          <w:rPr>
            <w:rStyle w:val="Hyperlink"/>
            <w:sz w:val="22"/>
            <w:szCs w:val="22"/>
          </w:rPr>
          <w:t>www.zakupki.gov.ru</w:t>
        </w:r>
      </w:hyperlink>
      <w:r>
        <w:rPr>
          <w:sz w:val="22"/>
          <w:szCs w:val="22"/>
        </w:rPr>
        <w:t xml:space="preserve">, на сайте Электронной торговой площадки Российского аукционного дома (РАД) </w:t>
      </w:r>
      <w:hyperlink r:id="rId4">
        <w:r>
          <w:rPr>
            <w:rStyle w:val="Hyperlink"/>
            <w:sz w:val="22"/>
            <w:szCs w:val="22"/>
            <w:lang w:val="en-US"/>
          </w:rPr>
          <w:t>www</w:t>
        </w:r>
        <w:r>
          <w:rPr>
            <w:rStyle w:val="Hyperlink"/>
            <w:sz w:val="22"/>
            <w:szCs w:val="22"/>
          </w:rPr>
          <w:t>.tender.lot-online.ru</w:t>
        </w:r>
      </w:hyperlink>
      <w:r>
        <w:rPr>
          <w:sz w:val="22"/>
          <w:szCs w:val="22"/>
        </w:rPr>
        <w:t xml:space="preserve"> (далее ЭТП)</w:t>
      </w:r>
      <w:r>
        <w:rPr>
          <w:rStyle w:val="Hyperlink"/>
          <w:color w:val="000000"/>
          <w:sz w:val="22"/>
          <w:szCs w:val="22"/>
          <w:u w:val="none"/>
        </w:rPr>
        <w:t>:</w:t>
      </w:r>
      <w:r>
        <w:rPr>
          <w:rStyle w:val="Hyperlink"/>
          <w:sz w:val="22"/>
          <w:szCs w:val="22"/>
          <w:u w:val="none"/>
        </w:rPr>
        <w:t xml:space="preserve"> </w:t>
        <w:br/>
      </w:r>
      <w:r>
        <w:rPr>
          <w:sz w:val="22"/>
          <w:szCs w:val="22"/>
        </w:rPr>
        <w:t xml:space="preserve">№ </w:t>
      </w:r>
      <w:bookmarkEnd w:id="4"/>
      <w:r>
        <w:rPr>
          <w:sz w:val="22"/>
          <w:szCs w:val="22"/>
        </w:rPr>
        <w:t>3251547871.</w:t>
      </w:r>
    </w:p>
    <w:p>
      <w:pPr>
        <w:pStyle w:val="Style22"/>
        <w:tabs>
          <w:tab w:val="clear" w:pos="1134"/>
        </w:tabs>
        <w:spacing w:lineRule="auto" w:line="240"/>
        <w:ind w:firstLine="426" w:start="0" w:end="-6"/>
        <w:rPr>
          <w:sz w:val="22"/>
          <w:szCs w:val="22"/>
        </w:rPr>
      </w:pPr>
      <w:bookmarkStart w:id="5" w:name="_Hlk145422621"/>
      <w:bookmarkEnd w:id="5"/>
      <w:r>
        <w:rPr>
          <w:sz w:val="22"/>
          <w:szCs w:val="22"/>
        </w:rPr>
        <w:t>В соответствии с Извещением о проведении запроса цен:</w:t>
      </w:r>
    </w:p>
    <w:p>
      <w:pPr>
        <w:pStyle w:val="Normal"/>
        <w:autoSpaceDE w:val="false"/>
        <w:spacing w:lineRule="auto" w:line="240" w:before="40" w:after="0"/>
        <w:rPr>
          <w:bCs/>
          <w:iCs/>
          <w:sz w:val="22"/>
          <w:szCs w:val="22"/>
          <w:shd w:fill="FFFF99" w:val="clear"/>
        </w:rPr>
      </w:pPr>
      <w:r>
        <w:rPr>
          <w:sz w:val="22"/>
          <w:szCs w:val="22"/>
        </w:rPr>
        <w:t>- начальная (максимальная) цена Договора составляет:</w:t>
      </w:r>
      <w:bookmarkStart w:id="6" w:name="_Hlk195621474"/>
      <w:bookmarkStart w:id="7" w:name="_Hlk129955097"/>
      <w:r>
        <w:rPr>
          <w:b/>
          <w:sz w:val="22"/>
          <w:szCs w:val="22"/>
        </w:rPr>
        <w:t xml:space="preserve"> </w:t>
      </w:r>
      <w:r>
        <w:rPr>
          <w:bCs/>
          <w:sz w:val="22"/>
          <w:szCs w:val="22"/>
        </w:rPr>
        <w:t>18 330 466 (Восемнадцать миллионов триста тридцать тысяч четыреста шестьдесят шесть) рублей 00 копеек РФ, без учета НДС; НДС составляет 3 666 093 (Три миллиона шестьсот шестьдесят шесть тысяч девяносто три) рубля 20 копеек РФ (по ставке НДС 20%), 21 996 559 (Двадцать один миллион девятьсот девяносто шесть тысяч пятьсот пятьдесят девять) рублей 20 копеек РФ, с учетом НДС;</w:t>
      </w:r>
    </w:p>
    <w:p>
      <w:pPr>
        <w:pStyle w:val="Style22"/>
        <w:tabs>
          <w:tab w:val="clear" w:pos="1134"/>
        </w:tabs>
        <w:spacing w:lineRule="auto" w:line="240"/>
        <w:ind w:firstLine="426" w:start="0" w:end="-6"/>
        <w:rPr>
          <w:bCs/>
          <w:sz w:val="22"/>
          <w:szCs w:val="22"/>
        </w:rPr>
      </w:pPr>
      <w:bookmarkEnd w:id="6"/>
      <w:r>
        <w:rPr>
          <w:sz w:val="22"/>
          <w:szCs w:val="22"/>
        </w:rPr>
        <w:t>-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 xml:space="preserve">  сроки выполнения работ:</w:t>
      </w:r>
      <w:bookmarkStart w:id="8" w:name="_Hlk195621570"/>
      <w:bookmarkEnd w:id="7"/>
      <w:r>
        <w:rPr>
          <w:sz w:val="22"/>
          <w:szCs w:val="22"/>
        </w:rPr>
        <w:t xml:space="preserve"> </w:t>
      </w:r>
      <w:r>
        <w:rPr>
          <w:bCs/>
          <w:sz w:val="22"/>
          <w:szCs w:val="22"/>
        </w:rPr>
        <w:t>начало – с даты подписания Договора; окончание – до 31 января 2026 г.;</w:t>
      </w:r>
      <w:bookmarkEnd w:id="8"/>
    </w:p>
    <w:p>
      <w:pPr>
        <w:pStyle w:val="BodyText"/>
        <w:widowControl w:val="false"/>
        <w:ind w:firstLine="426" w:end="-6"/>
        <w:jc w:val="both"/>
        <w:rPr>
          <w:sz w:val="22"/>
          <w:szCs w:val="22"/>
        </w:rPr>
      </w:pPr>
      <w:bookmarkStart w:id="9" w:name="_Hlk174016475"/>
      <w:bookmarkEnd w:id="9"/>
      <w:r>
        <w:rPr>
          <w:sz w:val="22"/>
          <w:szCs w:val="22"/>
        </w:rPr>
        <w:t>- объем закупаемых работ: согласно требованиям, изложенным в Техническом задании (Приложение № 1 к Извещению о проведении запроса цен).</w:t>
      </w:r>
    </w:p>
    <w:p>
      <w:pPr>
        <w:pStyle w:val="BodyText"/>
        <w:widowControl w:val="false"/>
        <w:ind w:firstLine="426" w:end="-6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-6"/>
        <w:outlineLvl w:val="1"/>
        <w:rPr>
          <w:b/>
          <w:sz w:val="22"/>
          <w:szCs w:val="22"/>
        </w:rPr>
      </w:pPr>
      <w:r>
        <w:rPr>
          <w:b/>
          <w:sz w:val="22"/>
          <w:szCs w:val="22"/>
        </w:rPr>
        <w:t>СОСТАВ ЗАКУПОЧНОЙ КОМИССИИ: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85"/>
        <w:gridCol w:w="5103"/>
        <w:gridCol w:w="2835"/>
      </w:tblGrid>
      <w:tr>
        <w:trPr/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jc w:val="center"/>
              <w:rPr/>
            </w:pPr>
            <w:r>
              <w:rPr>
                <w:sz w:val="22"/>
                <w:szCs w:val="22"/>
              </w:rPr>
              <w:t>Статус в составе комиссии</w:t>
            </w:r>
          </w:p>
        </w:tc>
      </w:tr>
      <w:tr>
        <w:trPr/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Филатов А.В.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-108"/>
              <w:rPr/>
            </w:pPr>
            <w:r>
              <w:rPr>
                <w:sz w:val="22"/>
                <w:szCs w:val="22"/>
              </w:rPr>
              <w:t>Директор филиала ПАО «Россети Центр» -«Тамбовэнерго»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Председатель закупочной комиссии</w:t>
            </w:r>
          </w:p>
        </w:tc>
      </w:tr>
      <w:tr>
        <w:trPr/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Кобелева Е.Ю.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/>
            </w:pPr>
            <w:r>
              <w:rPr>
                <w:sz w:val="22"/>
                <w:szCs w:val="22"/>
              </w:rPr>
              <w:t>Начальник отдела закупочной деятельности филиала ПАО «Россети Центр» -«Тамбовэнерго»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rPr/>
            </w:pPr>
            <w:r>
              <w:rPr>
                <w:sz w:val="22"/>
                <w:szCs w:val="22"/>
              </w:rPr>
              <w:t>Заместитель председателя закупочной комиссии</w:t>
            </w:r>
          </w:p>
        </w:tc>
      </w:tr>
      <w:tr>
        <w:trPr/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Скрябин В.Ю.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/>
            </w:pPr>
            <w:r>
              <w:rPr>
                <w:sz w:val="22"/>
                <w:szCs w:val="22"/>
              </w:rPr>
              <w:t>Заместитель директора по безопасности филиала ПАО «Россети Центр»-«Тамбовэнерго»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Седанов И.А.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/>
            </w:pPr>
            <w:r>
              <w:rPr>
                <w:sz w:val="22"/>
                <w:szCs w:val="22"/>
              </w:rPr>
              <w:t>Первый заместитель директора - главный инженер филиала ПАО «Россети Центр»-«Тамбовэнерго»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Тихонов С.А.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/>
            </w:pPr>
            <w:r>
              <w:rPr>
                <w:sz w:val="22"/>
                <w:szCs w:val="22"/>
              </w:rPr>
              <w:t>Заместитель директора филиала по экономике и финансам филиала ПАО «Россети Центр»-«Тамбовэнерго»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Ковтунов Д.А.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филиала по реализации услуг филиала ПАО «Россети Центр» - «Тамбовэнерго»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/>
            </w:pPr>
            <w:r>
              <w:rPr>
                <w:sz w:val="22"/>
                <w:szCs w:val="22"/>
              </w:rPr>
              <w:t>Свирин К.А.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/>
            </w:pPr>
            <w:r>
              <w:rPr>
                <w:sz w:val="22"/>
                <w:szCs w:val="22"/>
              </w:rPr>
              <w:t>Заместитель директора по инвестиционной деятельности филиала ПАО «Россети Центр» - «Тамбовэнерго»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/>
            </w:pPr>
            <w:r>
              <w:rPr>
                <w:sz w:val="22"/>
                <w:szCs w:val="22"/>
              </w:rPr>
              <w:t>Донских А.П.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/>
            </w:pPr>
            <w:r>
              <w:rPr>
                <w:sz w:val="22"/>
                <w:szCs w:val="22"/>
              </w:rPr>
              <w:t>Начальник Управления логистики и МТО филиала ПАО «Россети Центр»-«Тамбовэнерго»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Фидаров В.В.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23" w:end="0"/>
              <w:rPr/>
            </w:pPr>
            <w:r>
              <w:rPr>
                <w:sz w:val="22"/>
                <w:szCs w:val="22"/>
              </w:rPr>
              <w:t>Начальник Управления правового обеспечения филиала ПАО «Россети Центр»-«Тамбовэнерго»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/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Солянин Р.В.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 w:before="60" w:after="0"/>
              <w:ind w:hanging="0" w:end="0"/>
              <w:jc w:val="start"/>
              <w:rPr/>
            </w:pPr>
            <w:r>
              <w:rPr>
                <w:sz w:val="22"/>
                <w:szCs w:val="22"/>
              </w:rPr>
              <w:t>Заместитель генерального директора по инвестиционной деятельности и капитальному строительству ПАО «Россети Центр»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/>
            </w:pPr>
            <w:r>
              <w:rPr>
                <w:sz w:val="22"/>
                <w:szCs w:val="22"/>
              </w:rPr>
              <w:t>Член закупочной комиссии</w:t>
            </w:r>
          </w:p>
        </w:tc>
      </w:tr>
      <w:tr>
        <w:trPr>
          <w:trHeight w:val="250" w:hRule="atLeast"/>
        </w:trPr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Левыкина О.Г.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firstLine="23" w:end="0"/>
              <w:rPr/>
            </w:pPr>
            <w:r>
              <w:rPr>
                <w:sz w:val="22"/>
                <w:szCs w:val="22"/>
              </w:rPr>
              <w:t>Ответственный секретарь закупочной комиссии – ведущий специалист отдела закупочной деятельности филиала ПАО «Россети Центр»-«Тамбовэнерго»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firstLine="23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Ответственный секретарь (с правом)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>
          <w:sz w:val="22"/>
          <w:szCs w:val="22"/>
        </w:rPr>
      </w:pPr>
      <w:r>
        <w:rPr>
          <w:sz w:val="22"/>
          <w:szCs w:val="22"/>
        </w:rPr>
        <w:t>На заседании Закупочной комиссии присутствует не менее чем пятьдесят процентов общего числа ее членов. Кворум имеется, комиссия правомочна.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22"/>
          <w:szCs w:val="22"/>
        </w:rPr>
      </w:pPr>
      <w:r>
        <w:rPr>
          <w:b/>
          <w:sz w:val="22"/>
          <w:szCs w:val="22"/>
        </w:rPr>
        <w:t>КРАТКИЙ ОТЧЕТ: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BodyText"/>
        <w:widowControl w:val="false"/>
        <w:ind w:firstLine="426" w:end="-6"/>
        <w:jc w:val="both"/>
        <w:rPr/>
      </w:pPr>
      <w:r>
        <w:rPr>
          <w:sz w:val="22"/>
          <w:szCs w:val="22"/>
        </w:rPr>
        <w:t xml:space="preserve">До окончания срока подачи Заявок на сайт ЭТП </w:t>
      </w:r>
      <w:hyperlink r:id="rId5">
        <w:r>
          <w:rPr>
            <w:rStyle w:val="Hyperlink"/>
            <w:sz w:val="22"/>
            <w:szCs w:val="22"/>
            <w:lang w:val="en-US"/>
          </w:rPr>
          <w:t>www</w:t>
        </w:r>
        <w:r>
          <w:rPr>
            <w:rStyle w:val="Hyperlink"/>
            <w:sz w:val="22"/>
            <w:szCs w:val="22"/>
          </w:rPr>
          <w:t>.tender.lot-online.ru</w:t>
        </w:r>
      </w:hyperlink>
      <w:r>
        <w:rPr>
          <w:sz w:val="22"/>
          <w:szCs w:val="22"/>
        </w:rPr>
        <w:t xml:space="preserve"> поступили следующие общие части Заявок: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"/>
        <w:gridCol w:w="7230"/>
        <w:gridCol w:w="2126"/>
      </w:tblGrid>
      <w:tr>
        <w:trPr>
          <w:trHeight w:val="374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п/п</w:t>
            </w:r>
          </w:p>
        </w:tc>
        <w:tc>
          <w:tcPr>
            <w:tcW w:w="723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Сведения об Участниках закупки</w:t>
            </w:r>
          </w:p>
        </w:tc>
        <w:tc>
          <w:tcPr>
            <w:tcW w:w="212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Дата и время регистрации Заявки на ЭТП</w:t>
            </w:r>
          </w:p>
        </w:tc>
      </w:tr>
      <w:tr>
        <w:trPr>
          <w:trHeight w:val="253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23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12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bookmarkStart w:id="10" w:name="_Hlk195789829"/>
            <w:bookmarkStart w:id="11" w:name="_Hlk195789829"/>
            <w:bookmarkEnd w:id="11"/>
          </w:p>
        </w:tc>
        <w:tc>
          <w:tcPr>
            <w:tcW w:w="7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 «РСО-Энерго», ИНН 3661054875, КПП 366301001, адрес: 394008, г. Воронеж, ул. Азовская, д. 2-Б, офис 308, тел. (473) 210-66-37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05.12.2025 15:55 МСК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Лидер коллективного участника: Общество с ограниченной ответственностью «ЭНЕРГОИНЖИНИРИНГ», ИНН 3663143778, КПП 366301001, адрес: 394028, г.Воронеж, ул. Красный Октябрь, д.2/2, помещ. 1 Коллективный участник в составе: Общество с ограниченной ответственностью «Тесла» 394028, г. Воронеж, проезд Монтажный, д.26, офис 15, тел. +7(473) 211-01-52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05.12.2025 16:55 МСК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 «Мехколонна №26», ИНН 3123367445, КПП 312301001, 308015, г. Белгород, пер. Чапаева, д.77, офис 15, тел. (4722) 23-10-10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09.12.2025 11:14 МСК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 «ОПТИМА», ИНН 3123463734, КПП 312301001, 308002, г. Белгород, пр-кт Б. Хмельницкого, д. 111а, офис 314, тел. (472) 236-65-55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09.12.2025 11:29 МСК</w:t>
            </w:r>
          </w:p>
        </w:tc>
      </w:tr>
    </w:tbl>
    <w:p>
      <w:pPr>
        <w:pStyle w:val="BodyText"/>
        <w:widowControl w:val="false"/>
        <w:ind w:firstLine="426" w:end="-6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widowControl w:val="false"/>
        <w:ind w:firstLine="426" w:end="-6"/>
        <w:rPr>
          <w:sz w:val="22"/>
          <w:szCs w:val="22"/>
        </w:rPr>
      </w:pPr>
      <w:r>
        <w:rPr>
          <w:sz w:val="22"/>
          <w:szCs w:val="22"/>
        </w:rPr>
        <w:t>Количество поступивших Заявок: 4 шт.</w:t>
      </w:r>
    </w:p>
    <w:p>
      <w:pPr>
        <w:pStyle w:val="BodyText"/>
        <w:widowControl w:val="false"/>
        <w:ind w:firstLine="426" w:end="-6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spacing w:lineRule="auto" w:line="240"/>
        <w:ind w:firstLine="709" w:end="0"/>
        <w:rPr>
          <w:sz w:val="22"/>
          <w:szCs w:val="22"/>
        </w:rPr>
      </w:pPr>
      <w:r>
        <w:rPr>
          <w:sz w:val="22"/>
          <w:szCs w:val="22"/>
        </w:rPr>
        <w:t>Признали общие части Заявок: ООО «РСО-Энерго», ИНН 3661054875, КПП 366301001, адрес: 394008, г. Воронеж, ул. Азовская, д. 2-Б, офис 308, тел. (473) 210-66-37; Лидер коллективного участника: Общество с ограниченной ответственностью «ЭНЕРГОИНЖИНИРИНГ», ИНН 3663143778, КПП 366301001, адрес: 394028, г.Воронеж, ул. Красный Октябрь, д.2/2, помещ. 1 Коллективный участник в составе: Общество с ограниченной ответственностью «Тесла» 394028, г. Воронеж, проезд Монтажный, д.26, офис 15, тел. +7(473) 211-01-52; ООО «Мехколонна №26», ИНН 3123367445, КПП 312301001, 308015, г. Белгород, пер. Чапаева, д.77, офис 15, тел. (4722) 23-10-10; ООО «ОПТИМА», ИНН 3123463734, КПП 312301001, 308002, г. Белгород, пр-кт Б. Хмельницкого, д. 111а, офис 314, тел. (472) 236-65-55  соответствующими условиям запроса цен.</w:t>
      </w:r>
    </w:p>
    <w:p>
      <w:pPr>
        <w:pStyle w:val="Normal"/>
        <w:widowControl w:val="false"/>
        <w:spacing w:lineRule="auto" w:line="240"/>
        <w:ind w:firstLine="426" w:end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spacing w:lineRule="auto" w:line="240"/>
        <w:ind w:firstLine="426" w:end="0"/>
        <w:rPr>
          <w:sz w:val="22"/>
          <w:szCs w:val="22"/>
        </w:rPr>
      </w:pPr>
      <w:r>
        <w:rPr>
          <w:sz w:val="22"/>
          <w:szCs w:val="22"/>
        </w:rPr>
        <w:t>Решение Закупочной комиссии было оформлено соответствующим протоколом заседания Закупочной комиссии (протокол от 11.12.2025 № 0245-ТА-25-1).</w:t>
      </w:r>
    </w:p>
    <w:p>
      <w:pPr>
        <w:pStyle w:val="Normal"/>
        <w:widowControl w:val="false"/>
        <w:spacing w:lineRule="auto" w:line="240"/>
        <w:ind w:firstLine="426" w:end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widowControl w:val="false"/>
        <w:ind w:firstLine="426" w:end="-6"/>
        <w:jc w:val="both"/>
        <w:rPr>
          <w:sz w:val="22"/>
          <w:szCs w:val="22"/>
        </w:rPr>
      </w:pPr>
      <w:r>
        <w:rPr>
          <w:sz w:val="22"/>
          <w:szCs w:val="22"/>
        </w:rPr>
        <w:t>После рассмотрения общих частей Заявок поступили следующие ценовые предложения:</w:t>
      </w:r>
    </w:p>
    <w:tbl>
      <w:tblPr>
        <w:tblW w:w="10206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7"/>
        <w:gridCol w:w="4820"/>
        <w:gridCol w:w="1701"/>
        <w:gridCol w:w="1701"/>
        <w:gridCol w:w="1417"/>
      </w:tblGrid>
      <w:tr>
        <w:trPr>
          <w:trHeight w:val="383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bookmarkStart w:id="12" w:name="_Hlk190940424"/>
            <w:bookmarkEnd w:id="12"/>
            <w:r>
              <w:rPr>
                <w:sz w:val="22"/>
                <w:szCs w:val="22"/>
              </w:rPr>
              <w:t>№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п/п</w:t>
            </w:r>
          </w:p>
        </w:tc>
        <w:tc>
          <w:tcPr>
            <w:tcW w:w="482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sz w:val="22"/>
                <w:szCs w:val="22"/>
              </w:rPr>
              <w:t>Сведения об Участниках закупки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Общая цена Заявки, руб.</w:t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sz w:val="22"/>
                <w:szCs w:val="22"/>
              </w:rPr>
              <w:t>Дата и время регистрации Заявки на ЭТП</w:t>
            </w:r>
          </w:p>
        </w:tc>
      </w:tr>
      <w:tr>
        <w:trPr>
          <w:trHeight w:val="671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82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/>
            </w:pPr>
            <w:r>
              <w:rPr>
                <w:sz w:val="22"/>
                <w:szCs w:val="22"/>
              </w:rPr>
              <w:t>без учета НДС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 учетом НДС</w:t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6"/>
              </w:numPr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 «РСО-Энерго», ИНН 3661054875, КПП 366301001, адрес: 394008, г. Воронеж, ул. Азовская, д. 2-Б, офис 308, тел. (473) 210-66-37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18 330 466,00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21 996 559,20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05.12.2025 15:55 МСК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6"/>
              </w:numPr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Лидер коллективного участника: Общество с ограниченной ответственностью «ЭНЕРГОИНЖИНИРИНГ», ИНН 3663143778, КПП 366301001, адрес: 394028, г.Воронеж, ул. Красный Октябрь, д.2/2, помещ. 1 Коллективный участник в составе: Общество с ограниченной ответственностью «Тесла» 394028, г. Воронеж, проезд Монтажный, д.26, офис 15, тел. +7(473) 211-01-52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18 326 295,00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21 991 554,00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05.12.2025 16:55 МСК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6"/>
              </w:numPr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 «Мехколонна №26», ИНН 3123367445, КПП 312301001, 308015, г. Белгород, пер. Чапаева, д.77, офис 15, тел. (4722) 23-10-10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18 330 466,00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21 996 559,20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09.12.2025 11:14 МСК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6"/>
              </w:numPr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 «ОПТИМА», ИНН 3123463734, КПП 312301001, 308002, г. Белгород, пр-кт Б. Хмельницкого, д. 111а, офис 314, тел. (472) 236-65-55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18 330 466,00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21 996 559,20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09.12.2025 11:29 МСК</w:t>
            </w:r>
          </w:p>
        </w:tc>
      </w:tr>
    </w:tbl>
    <w:p>
      <w:pPr>
        <w:pStyle w:val="Normal"/>
        <w:widowControl w:val="false"/>
        <w:spacing w:lineRule="auto" w:line="240"/>
        <w:ind w:firstLine="426" w:end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spacing w:lineRule="auto" w:line="240"/>
        <w:ind w:firstLine="426" w:end="0"/>
        <w:rPr>
          <w:sz w:val="22"/>
          <w:szCs w:val="22"/>
        </w:rPr>
      </w:pPr>
      <w:r>
        <w:rPr>
          <w:sz w:val="22"/>
          <w:szCs w:val="22"/>
        </w:rPr>
        <w:t>Количество поступивших ценовых предложений: 4 шт.</w:t>
      </w:r>
    </w:p>
    <w:p>
      <w:pPr>
        <w:pStyle w:val="Normal"/>
        <w:widowControl w:val="false"/>
        <w:spacing w:lineRule="auto" w:line="240"/>
        <w:ind w:firstLine="426" w:end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spacing w:lineRule="auto" w:line="240"/>
        <w:ind w:hanging="0" w:end="0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  <w:t>РЕШЕНИЕ ЗАКУПОЧНОЙ КОМИССИИ:</w:t>
      </w:r>
    </w:p>
    <w:p>
      <w:pPr>
        <w:pStyle w:val="Normal"/>
        <w:widowControl w:val="false"/>
        <w:spacing w:lineRule="auto" w:line="240"/>
        <w:ind w:hanging="0" w:end="0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</w:r>
    </w:p>
    <w:p>
      <w:pPr>
        <w:pStyle w:val="Normal"/>
        <w:numPr>
          <w:ilvl w:val="0"/>
          <w:numId w:val="3"/>
        </w:numPr>
        <w:rPr>
          <w:b/>
          <w:sz w:val="22"/>
          <w:szCs w:val="22"/>
        </w:rPr>
      </w:pPr>
      <w:bookmarkStart w:id="13" w:name="_Ref93304289"/>
      <w:bookmarkEnd w:id="13"/>
      <w:r>
        <w:rPr>
          <w:b/>
          <w:sz w:val="22"/>
          <w:szCs w:val="22"/>
        </w:rPr>
        <w:t>Признать ценовые предложения участников:</w:t>
      </w:r>
    </w:p>
    <w:p>
      <w:pPr>
        <w:pStyle w:val="Normal"/>
        <w:widowControl w:val="false"/>
        <w:spacing w:lineRule="auto" w:line="240"/>
        <w:ind w:firstLine="709" w:end="0"/>
        <w:rPr>
          <w:sz w:val="22"/>
          <w:szCs w:val="22"/>
        </w:rPr>
      </w:pPr>
      <w:r>
        <w:rPr>
          <w:sz w:val="22"/>
          <w:szCs w:val="22"/>
        </w:rPr>
        <w:t xml:space="preserve">Признали ценовые предложения Участников: ООО «РСО-Энерго», ИНН 3661054875, КПП 366301001, адрес: 394008, г. Воронеж, ул. Азовская, д. 2-Б, офис 308, тел. (473) 210-66-37; </w:t>
      </w:r>
      <w:bookmarkStart w:id="14" w:name="_Hlk216187127"/>
      <w:r>
        <w:rPr>
          <w:sz w:val="22"/>
          <w:szCs w:val="22"/>
        </w:rPr>
        <w:t>Лидер коллективного участника: Общество с ограниченной ответственностью «ЭНЕРГОИНЖИНИРИНГ», ИНН 3663143778, КПП 366301001, адрес: 394028, г.Воронеж, ул. Красный Октябрь, д.2/2, помещ. 1 Коллективный участник в составе: Общество с ограниченной ответственностью «Тесла» 394028, г. Воронеж, проезд Монтажный, д.26, офис 15, тел. +7(473) 211-01-52</w:t>
      </w:r>
      <w:bookmarkEnd w:id="14"/>
      <w:r>
        <w:rPr>
          <w:sz w:val="22"/>
          <w:szCs w:val="22"/>
        </w:rPr>
        <w:t>; ООО «Мехколонна №26», ИНН 3123367445, КПП 312301001, 308015, г. Белгород, пер. Чапаева, д.77, офис 15, тел. (4722) 23-10-10; ООО «ОПТИМА», ИНН 3123463734, КПП 312301001, 308002, г. Белгород, пр-кт Б. Хмельницкого, д. 111а, офис 314, тел. (472) 236-65-55 соответствующими условиям запроса цен.</w:t>
      </w:r>
    </w:p>
    <w:p>
      <w:pPr>
        <w:pStyle w:val="Normal"/>
        <w:widowControl w:val="false"/>
        <w:spacing w:lineRule="auto" w:line="240"/>
        <w:ind w:firstLine="709" w:end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uppressAutoHyphens w:val="true"/>
        <w:spacing w:lineRule="auto" w:line="240"/>
        <w:ind w:firstLine="426" w:start="0" w:end="0"/>
        <w:outlineLvl w:val="2"/>
        <w:rPr>
          <w:b/>
          <w:sz w:val="22"/>
          <w:szCs w:val="22"/>
        </w:rPr>
      </w:pPr>
      <w:r>
        <w:rPr>
          <w:b/>
          <w:sz w:val="22"/>
          <w:szCs w:val="22"/>
        </w:rPr>
        <w:t>Ранжировать заявки: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 w:start="426" w:end="0"/>
        <w:outlineLvl w:val="2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start="0" w:firstLine="709" w:end="0"/>
        <w:outlineLvl w:val="2"/>
        <w:rPr>
          <w:sz w:val="22"/>
          <w:szCs w:val="22"/>
        </w:rPr>
      </w:pPr>
      <w:r>
        <w:rPr>
          <w:sz w:val="22"/>
          <w:szCs w:val="22"/>
        </w:rPr>
        <w:t>Учитывая, что единственным критерием для определения лучшей Заявки запроса цен и Участника, чья Заявка признана лучшей (далее - Победителя) является наименьшая цена Заявки, при условии соответствия Заявки и самого Участника требованиям Извещения о проведении запроса цена также с учетом подпункта (в) пункта 8.1.5.5 «Единого стандарта закупок ПАО «Россети» (Положения о закупке)» (в случае, если в нескольких Заявках на участие в закупке, окончательных предложениях содержатся одинаковые условия исполнения договора, меньший порядковый номер присваивается заявке на участие в закупке, окончательному предложению, которые поступили ранее других заявок на участие в закупке, окончательных предложений, содержащих такие же условия), ранжировать Заявки следующим образом: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start="0" w:firstLine="709" w:end="0"/>
        <w:outlineLvl w:val="2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9938" w:type="dxa"/>
        <w:jc w:val="start"/>
        <w:tblInd w:w="93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268"/>
        <w:gridCol w:w="1701"/>
        <w:gridCol w:w="1984"/>
        <w:gridCol w:w="1985"/>
      </w:tblGrid>
      <w:tr>
        <w:trPr>
          <w:trHeight w:val="471" w:hRule="atLeast"/>
        </w:trPr>
        <w:tc>
          <w:tcPr>
            <w:tcW w:w="4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ind w:hanging="0" w:end="0"/>
              <w:jc w:val="center"/>
              <w:rPr>
                <w:color w:val="000000"/>
                <w:sz w:val="22"/>
                <w:szCs w:val="22"/>
                <w:highlight w:val="yellow"/>
              </w:rPr>
            </w:pPr>
            <w:r>
              <w:rPr>
                <w:color w:val="000000"/>
                <w:sz w:val="22"/>
                <w:szCs w:val="22"/>
              </w:rPr>
              <w:t>Начальная (максимальная) цена Договора, руб. без учета НДС</w:t>
            </w:r>
          </w:p>
        </w:tc>
        <w:tc>
          <w:tcPr>
            <w:tcW w:w="567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jc w:val="center"/>
              <w:rPr>
                <w:b/>
                <w:bCs/>
                <w:color w:val="000000"/>
                <w:sz w:val="22"/>
                <w:szCs w:val="22"/>
                <w:highlight w:val="yellow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18 330 466,00</w:t>
            </w:r>
          </w:p>
        </w:tc>
      </w:tr>
      <w:tr>
        <w:trPr>
          <w:trHeight w:val="660" w:hRule="atLeast"/>
        </w:trPr>
        <w:tc>
          <w:tcPr>
            <w:tcW w:w="4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Наименование параметра/</w:t>
            </w:r>
          </w:p>
          <w:p>
            <w:pPr>
              <w:pStyle w:val="Style38"/>
              <w:rPr>
                <w:color w:val="000000"/>
                <w:sz w:val="22"/>
                <w:szCs w:val="22"/>
                <w:highlight w:val="yellow"/>
              </w:rPr>
            </w:pPr>
            <w:r>
              <w:rPr>
                <w:color w:val="000000"/>
                <w:sz w:val="22"/>
                <w:szCs w:val="22"/>
              </w:rPr>
              <w:t>Участники закупки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ind w:hanging="0" w:end="0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Итоговый рейтинг (место в ранжировке)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ind w:hanging="0" w:end="0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Цена Заявки</w:t>
            </w:r>
            <w:r>
              <w:rPr>
                <w:sz w:val="22"/>
                <w:szCs w:val="22"/>
              </w:rPr>
              <w:t>,</w:t>
            </w:r>
            <w:r>
              <w:rPr>
                <w:color w:val="000000"/>
                <w:sz w:val="22"/>
                <w:szCs w:val="22"/>
              </w:rPr>
              <w:t xml:space="preserve"> руб. без учета НДС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ind w:hanging="0" w:end="0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Цена Заявки, руб. с учетом НДС</w:t>
            </w:r>
          </w:p>
        </w:tc>
      </w:tr>
      <w:tr>
        <w:trPr>
          <w:trHeight w:val="660" w:hRule="atLeast"/>
        </w:trPr>
        <w:tc>
          <w:tcPr>
            <w:tcW w:w="4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ind w:hanging="0" w:end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Лидер коллективного участника: Общество с ограниченной ответственностью «ЭНЕРГОИНЖИНИРИНГ»</w:t>
            </w:r>
          </w:p>
          <w:p>
            <w:pPr>
              <w:pStyle w:val="Style38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ind w:hanging="0" w:end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ind w:hanging="0" w:end="0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18 326 295,00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ind w:hanging="0" w:end="0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21 991 554,00</w:t>
            </w:r>
          </w:p>
        </w:tc>
      </w:tr>
      <w:tr>
        <w:trPr>
          <w:trHeight w:val="660" w:hRule="atLeast"/>
        </w:trPr>
        <w:tc>
          <w:tcPr>
            <w:tcW w:w="4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ind w:hanging="0" w:end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ООО «РСО-Энерго»</w:t>
            </w:r>
          </w:p>
          <w:p>
            <w:pPr>
              <w:pStyle w:val="Style38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 </w:t>
            </w:r>
            <w:r>
              <w:rPr>
                <w:sz w:val="22"/>
                <w:szCs w:val="22"/>
              </w:rPr>
              <w:t>Дата и время регистрации Заявки на ЕЭТП: 05.12.2025 в 15 ч. 55 мин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18 330 466,00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21 996 559,20</w:t>
            </w:r>
          </w:p>
        </w:tc>
      </w:tr>
      <w:tr>
        <w:trPr>
          <w:trHeight w:val="660" w:hRule="atLeast"/>
        </w:trPr>
        <w:tc>
          <w:tcPr>
            <w:tcW w:w="4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ООО «Мехколонна №26» </w:t>
            </w:r>
          </w:p>
          <w:p>
            <w:pPr>
              <w:pStyle w:val="Style38"/>
              <w:rPr>
                <w:b/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>Дата и время регистрации Заявки на ЕЭТП: 09.12.2025 в 11 ч. 14 мин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3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18 330 466,00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21 996 559,20</w:t>
            </w:r>
          </w:p>
        </w:tc>
      </w:tr>
      <w:tr>
        <w:trPr>
          <w:trHeight w:val="660" w:hRule="atLeast"/>
        </w:trPr>
        <w:tc>
          <w:tcPr>
            <w:tcW w:w="4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ООО «Энергокомпозит»</w:t>
            </w:r>
          </w:p>
          <w:p>
            <w:pPr>
              <w:pStyle w:val="Style38"/>
              <w:rPr>
                <w:b/>
                <w:bCs/>
                <w:sz w:val="22"/>
                <w:szCs w:val="22"/>
              </w:rPr>
            </w:pPr>
            <w:r>
              <w:rPr>
                <w:sz w:val="22"/>
                <w:szCs w:val="22"/>
              </w:rPr>
              <w:t>Дата и время регистрации Заявки на ЕЭТП: 09.12.2025 в 11 ч. 29 мин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4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18 330 466,00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8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21 996 559,20</w:t>
            </w:r>
          </w:p>
        </w:tc>
      </w:tr>
    </w:tbl>
    <w:p>
      <w:pPr>
        <w:pStyle w:val="Normal"/>
        <w:widowControl w:val="false"/>
        <w:tabs>
          <w:tab w:val="clear" w:pos="567"/>
          <w:tab w:val="right" w:pos="9360" w:leader="none"/>
        </w:tabs>
        <w:spacing w:lineRule="auto" w:line="240"/>
        <w:ind w:hanging="0" w:start="426" w:end="0"/>
        <w:rPr>
          <w:iCs/>
          <w:sz w:val="22"/>
          <w:szCs w:val="22"/>
        </w:rPr>
      </w:pPr>
      <w:r>
        <w:rPr>
          <w:iCs/>
          <w:sz w:val="22"/>
          <w:szCs w:val="22"/>
        </w:rPr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  <w:tab w:val="right" w:pos="9360" w:leader="none"/>
        </w:tabs>
        <w:spacing w:lineRule="auto" w:line="240"/>
        <w:ind w:firstLine="426" w:start="0" w:end="0"/>
        <w:rPr>
          <w:iCs/>
          <w:sz w:val="22"/>
          <w:szCs w:val="22"/>
        </w:rPr>
      </w:pPr>
      <w:r>
        <w:rPr>
          <w:b/>
          <w:sz w:val="22"/>
          <w:szCs w:val="22"/>
        </w:rPr>
        <w:t>По результатам ранжировки заявок признать Победителем запроса цен:</w:t>
      </w:r>
    </w:p>
    <w:p>
      <w:pPr>
        <w:pStyle w:val="Normal"/>
        <w:widowControl w:val="false"/>
        <w:tabs>
          <w:tab w:val="clear" w:pos="567"/>
          <w:tab w:val="right" w:pos="9360" w:leader="none"/>
        </w:tabs>
        <w:spacing w:lineRule="auto" w:line="240"/>
        <w:ind w:hanging="0" w:start="426" w:end="0"/>
        <w:rPr>
          <w:iCs/>
          <w:sz w:val="22"/>
          <w:szCs w:val="22"/>
        </w:rPr>
      </w:pPr>
      <w:r>
        <w:rPr>
          <w:iCs/>
          <w:sz w:val="22"/>
          <w:szCs w:val="22"/>
        </w:rPr>
      </w:r>
    </w:p>
    <w:p>
      <w:pPr>
        <w:pStyle w:val="BodyText"/>
        <w:widowControl w:val="false"/>
        <w:ind w:firstLine="426" w:end="0"/>
        <w:jc w:val="both"/>
        <w:rPr/>
      </w:pPr>
      <w:r>
        <w:rPr>
          <w:sz w:val="22"/>
          <w:szCs w:val="22"/>
        </w:rPr>
        <w:t xml:space="preserve">Лидер коллективного участника: Общество с ограниченной ответственностью «ЭНЕРГОИНЖИНИРИНГ», ИНН 3663143778, КПП 366301001, адрес: 394028, г.Воронеж, ул. Красный Октябрь, д.2/2, помещ. 1 Коллективный участник в составе: Общество с ограниченной ответственностью «Тесла» 394028, г. Воронеж, проезд Монтажный, д.26, офис 15, тел. +7(473) 211-01-52 на право заключения Договора на </w:t>
      </w:r>
      <w:r>
        <w:rPr>
          <w:b/>
          <w:bCs/>
          <w:sz w:val="22"/>
          <w:szCs w:val="22"/>
        </w:rPr>
        <w:t xml:space="preserve">выполнение работ «под ключ» для исполнения обязательств по технологическому присоединению 9 заявителей (Г) (лот 8500016865) </w:t>
      </w:r>
      <w:r>
        <w:rPr>
          <w:sz w:val="22"/>
          <w:szCs w:val="22"/>
        </w:rPr>
        <w:t>для нужд ПАО «Россети Центр» (филиала «Тамбовэнерго») на следующих условиях:</w:t>
      </w:r>
    </w:p>
    <w:p>
      <w:pPr>
        <w:pStyle w:val="BodyText"/>
        <w:widowControl w:val="false"/>
        <w:ind w:firstLine="426" w:end="0"/>
        <w:jc w:val="both"/>
        <w:rPr>
          <w:sz w:val="22"/>
          <w:szCs w:val="22"/>
        </w:rPr>
      </w:pPr>
      <w:r>
        <w:rPr>
          <w:iCs/>
          <w:sz w:val="22"/>
          <w:szCs w:val="22"/>
        </w:rPr>
        <w:t xml:space="preserve">- стоимость выполнения работ: </w:t>
      </w:r>
    </w:p>
    <w:p>
      <w:pPr>
        <w:pStyle w:val="BodyText"/>
        <w:widowControl w:val="false"/>
        <w:numPr>
          <w:ilvl w:val="0"/>
          <w:numId w:val="4"/>
        </w:numPr>
        <w:tabs>
          <w:tab w:val="clear" w:pos="9360"/>
          <w:tab w:val="left" w:pos="567" w:leader="none"/>
          <w:tab w:val="right" w:pos="851" w:leader="none"/>
        </w:tabs>
        <w:ind w:firstLine="284" w:start="0" w:end="0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18 326 295,00</w:t>
      </w:r>
      <w:r>
        <w:rPr>
          <w:sz w:val="22"/>
          <w:szCs w:val="22"/>
        </w:rPr>
        <w:t xml:space="preserve"> руб. без НДС;</w:t>
      </w:r>
    </w:p>
    <w:p>
      <w:pPr>
        <w:pStyle w:val="BodyText"/>
        <w:widowControl w:val="false"/>
        <w:numPr>
          <w:ilvl w:val="0"/>
          <w:numId w:val="4"/>
        </w:numPr>
        <w:tabs>
          <w:tab w:val="clear" w:pos="9360"/>
          <w:tab w:val="left" w:pos="567" w:leader="none"/>
          <w:tab w:val="right" w:pos="851" w:leader="none"/>
        </w:tabs>
        <w:ind w:firstLine="284" w:start="0" w:end="0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3 665 259,00</w:t>
      </w:r>
      <w:r>
        <w:rPr>
          <w:sz w:val="22"/>
          <w:szCs w:val="22"/>
        </w:rPr>
        <w:t xml:space="preserve"> руб. НДС;</w:t>
      </w:r>
    </w:p>
    <w:p>
      <w:pPr>
        <w:pStyle w:val="BodyText"/>
        <w:widowControl w:val="false"/>
        <w:numPr>
          <w:ilvl w:val="0"/>
          <w:numId w:val="4"/>
        </w:numPr>
        <w:tabs>
          <w:tab w:val="clear" w:pos="9360"/>
          <w:tab w:val="left" w:pos="567" w:leader="none"/>
          <w:tab w:val="right" w:pos="851" w:leader="none"/>
        </w:tabs>
        <w:ind w:firstLine="284" w:start="0" w:end="0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21 991 554,00 </w:t>
      </w:r>
      <w:r>
        <w:rPr>
          <w:sz w:val="22"/>
          <w:szCs w:val="22"/>
        </w:rPr>
        <w:t xml:space="preserve">руб. </w:t>
      </w:r>
      <w:r>
        <w:rPr>
          <w:iCs/>
          <w:sz w:val="22"/>
          <w:szCs w:val="22"/>
        </w:rPr>
        <w:t>с учетом НДС</w:t>
      </w:r>
      <w:r>
        <w:rPr>
          <w:sz w:val="22"/>
          <w:szCs w:val="22"/>
        </w:rPr>
        <w:t>;</w:t>
      </w:r>
    </w:p>
    <w:p>
      <w:pPr>
        <w:pStyle w:val="BodyText"/>
        <w:widowControl w:val="false"/>
        <w:tabs>
          <w:tab w:val="clear" w:pos="9360"/>
          <w:tab w:val="right" w:pos="851" w:leader="none"/>
        </w:tabs>
        <w:ind w:firstLine="709" w:end="0"/>
        <w:jc w:val="both"/>
        <w:rPr>
          <w:sz w:val="22"/>
          <w:szCs w:val="22"/>
        </w:rPr>
      </w:pPr>
      <w:r>
        <w:rPr>
          <w:iCs/>
          <w:sz w:val="22"/>
          <w:szCs w:val="22"/>
        </w:rPr>
        <w:t xml:space="preserve">- условия </w:t>
      </w:r>
      <w:r>
        <w:rPr>
          <w:sz w:val="22"/>
          <w:szCs w:val="22"/>
        </w:rPr>
        <w:t>оплаты: согласно «Заявке на выполнение работ» - безналичный расчет, не более 7 (семи) рабочих дней с момента подписания сторонами Акта приемки выполненных работ и иных документов, предусмотренных договором;</w:t>
      </w:r>
    </w:p>
    <w:p>
      <w:pPr>
        <w:pStyle w:val="BodyText"/>
        <w:widowControl w:val="false"/>
        <w:ind w:firstLine="426" w:end="-6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- сроки выполнения работ: согласно «Заявке на выполнение работ» </w:t>
      </w:r>
      <w:bookmarkStart w:id="15" w:name="_Hlk199340706"/>
      <w:r>
        <w:rPr>
          <w:sz w:val="22"/>
          <w:szCs w:val="22"/>
        </w:rPr>
        <w:t>–</w:t>
      </w:r>
      <w:bookmarkEnd w:id="15"/>
      <w:r>
        <w:rPr>
          <w:sz w:val="22"/>
          <w:szCs w:val="22"/>
        </w:rPr>
        <w:t xml:space="preserve"> начало – с даты подписания договора, окончание – до 31.01.2026.</w:t>
      </w:r>
    </w:p>
    <w:p>
      <w:pPr>
        <w:pStyle w:val="BodyText"/>
        <w:widowControl w:val="false"/>
        <w:ind w:firstLine="426" w:end="-6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widowControl w:val="false"/>
        <w:numPr>
          <w:ilvl w:val="0"/>
          <w:numId w:val="3"/>
        </w:numPr>
        <w:tabs>
          <w:tab w:val="left" w:pos="851" w:leader="none"/>
          <w:tab w:val="right" w:pos="9360" w:leader="none"/>
        </w:tabs>
        <w:ind w:firstLine="273" w:start="153" w:end="-6"/>
        <w:jc w:val="both"/>
        <w:rPr>
          <w:sz w:val="22"/>
          <w:szCs w:val="22"/>
        </w:rPr>
      </w:pPr>
      <w:r>
        <w:rPr>
          <w:sz w:val="22"/>
          <w:szCs w:val="22"/>
        </w:rPr>
        <w:t>Поручить ответственному секретарю Закупочной комиссии уведомить ПАО «Россети Центр» (филиал «Тамбовэнерго», расположенный по адресу: РФ, 392030, г. Тамбов, ул. Моршанское шоссе, д. 23) о решении Закупочной комиссии в течение 3-х рабочих дней после подписания Протокола.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pacing w:lineRule="auto" w:line="240"/>
        <w:ind w:firstLine="426" w:start="0" w:end="0"/>
        <w:rPr>
          <w:sz w:val="22"/>
          <w:szCs w:val="22"/>
        </w:rPr>
      </w:pPr>
      <w:r>
        <w:rPr>
          <w:sz w:val="22"/>
          <w:szCs w:val="22"/>
        </w:rPr>
        <w:t>ПАО «Россети Центр» (филиалу «Тамбовэнерго», расположенному по адресу: РФ, 392030, г. Тамбов, ул. Моршанское шоссе, д. 23) не ранее чем через 10 (десять) дней и не позднее чем через 20 (двадцать) дней с даты размещения в Единой информационной системе в сфере закупок товаров, работ, услуг для обеспечения государственных и муниципальных нужд настоящего протокола, составленного по результатам конкурентной закупки заключить договор с Победителем, на указанных в заявке Победителя, цене и условиях.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pacing w:lineRule="auto" w:line="240"/>
        <w:ind w:firstLine="426" w:start="0" w:end="0"/>
        <w:rPr>
          <w:sz w:val="22"/>
          <w:szCs w:val="22"/>
        </w:rPr>
      </w:pPr>
      <w:r>
        <w:rPr>
          <w:sz w:val="22"/>
          <w:szCs w:val="22"/>
        </w:rPr>
        <w:t>В случае необходимости предварительного одобрения Советом директоров ПАО «Россети Центр» договора как сделки, в совершении которой имеется заинтересованность, обеспечить вынесение на рассмотрение Совета директоров вопроса об одобрении договора до его заключения.</w:t>
      </w:r>
    </w:p>
    <w:p>
      <w:pPr>
        <w:pStyle w:val="Normal"/>
        <w:numPr>
          <w:ilvl w:val="0"/>
          <w:numId w:val="3"/>
        </w:numPr>
        <w:tabs>
          <w:tab w:val="clear" w:pos="567"/>
          <w:tab w:val="left" w:pos="851" w:leader="none"/>
        </w:tabs>
        <w:spacing w:lineRule="auto" w:line="240"/>
        <w:ind w:firstLine="426" w:start="0" w:end="0"/>
        <w:rPr>
          <w:sz w:val="22"/>
          <w:szCs w:val="22"/>
        </w:rPr>
      </w:pPr>
      <w:r>
        <w:rPr>
          <w:sz w:val="22"/>
          <w:szCs w:val="22"/>
        </w:rPr>
        <w:t>В случае необходимости одобрения органом управления Заказчика, в соответствии с законодательством Российской Федерации, заключения договора или в случае обжалования в антимонопольном органе либо в судебном порядке действий (бездействий) Заказчика, Закупочной комиссии, оператора электронной площадки, договор должен быть заключен в сроки, установленные законодательством.</w:t>
      </w:r>
    </w:p>
    <w:p>
      <w:pPr>
        <w:pStyle w:val="Normal"/>
        <w:tabs>
          <w:tab w:val="clear" w:pos="567"/>
          <w:tab w:val="left" w:pos="851" w:leader="none"/>
        </w:tabs>
        <w:spacing w:lineRule="auto" w:line="240"/>
        <w:ind w:hanging="0" w:start="426" w:end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/>
      </w:pPr>
      <w:bookmarkStart w:id="16" w:name="_Ref93304289"/>
      <w:bookmarkEnd w:id="16"/>
      <w:r>
        <w:rPr>
          <w:b/>
          <w:i/>
          <w:sz w:val="22"/>
          <w:szCs w:val="22"/>
          <w:lang w:val="en-US"/>
        </w:rPr>
        <w:t xml:space="preserve">Я, член Закупочной комиссии, подписавший настоящий протокол, подтверждаю, что не связан в настоящем ни с одним из участников данного запроса цен таким образом, что это помешает беспристрастно </w:t>
      </w:r>
      <w:r>
        <w:rPr>
          <w:b/>
          <w:i/>
          <w:sz w:val="22"/>
          <w:szCs w:val="22"/>
        </w:rPr>
        <w:t>рассматривать</w:t>
      </w:r>
      <w:r>
        <w:rPr>
          <w:b/>
          <w:i/>
          <w:sz w:val="22"/>
          <w:szCs w:val="22"/>
          <w:lang w:val="en-US"/>
        </w:rPr>
        <w:t xml:space="preserve"> поданные заявки участников.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22"/>
          <w:szCs w:val="22"/>
          <w:lang w:val="en-US"/>
        </w:rPr>
        <w:t xml:space="preserve">В случае возникновения в период проведения запроса цен любых обстоятельств, мешающих давать беспристрастные оценки, либо в случае попытки оказания влияния на оценки члена Закупочной комиссии со стороны участников или иных лиц, не участвующих в </w:t>
      </w:r>
      <w:r>
        <w:rPr>
          <w:b/>
          <w:i/>
          <w:sz w:val="22"/>
          <w:szCs w:val="22"/>
        </w:rPr>
        <w:t>рассмотрении</w:t>
      </w:r>
      <w:r>
        <w:rPr>
          <w:b/>
          <w:i/>
          <w:sz w:val="22"/>
          <w:szCs w:val="22"/>
          <w:lang w:val="en-US"/>
        </w:rPr>
        <w:t xml:space="preserve"> Заявок, член Закупочной комиссии обязуется незамедлительно доложить об этом лично председателю Закупочной комиссии.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22"/>
          <w:szCs w:val="22"/>
          <w:lang w:val="en-US"/>
        </w:rPr>
        <w:t>Вс</w:t>
      </w:r>
      <w:r>
        <w:rPr>
          <w:b/>
          <w:i/>
          <w:sz w:val="22"/>
          <w:szCs w:val="22"/>
        </w:rPr>
        <w:t>ю</w:t>
      </w:r>
      <w:r>
        <w:rPr>
          <w:b/>
          <w:i/>
          <w:sz w:val="22"/>
          <w:szCs w:val="22"/>
          <w:lang w:val="en-US"/>
        </w:rPr>
        <w:t xml:space="preserve"> информаци</w:t>
      </w:r>
      <w:r>
        <w:rPr>
          <w:b/>
          <w:i/>
          <w:sz w:val="22"/>
          <w:szCs w:val="22"/>
        </w:rPr>
        <w:t>ю</w:t>
      </w:r>
      <w:r>
        <w:rPr>
          <w:b/>
          <w:i/>
          <w:sz w:val="22"/>
          <w:szCs w:val="22"/>
          <w:lang w:val="en-US"/>
        </w:rPr>
        <w:t xml:space="preserve"> о заявках, разъяснениях, рассмотрении, отбору, оценках и сопоставлении заявок, до подведения результатов запроса цен, член Закупочной комиссии обязуется ни при каких обстоятельствах не сообщать участникам и лицам, не имеющим отношения к процедуре рассмотрения заявок.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22"/>
          <w:szCs w:val="22"/>
          <w:lang w:val="en-US"/>
        </w:rPr>
        <w:t>В случае необходимости обращения к Участнику запроса цен до подведения результатов, член Закупочной комиссии обязуется это сделать через Организатора данного запроса цен.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>
          <w:b/>
          <w:i/>
          <w:i/>
          <w:sz w:val="22"/>
          <w:szCs w:val="22"/>
        </w:rPr>
      </w:pPr>
      <w:r>
        <w:rPr>
          <w:b/>
          <w:i/>
          <w:sz w:val="22"/>
          <w:szCs w:val="22"/>
          <w:lang w:val="en-US"/>
        </w:rPr>
        <w:t>Член Закупочной комиссии несет персональную ответственность за разглашение этих сведений до подведения результатов запроса цен</w:t>
      </w:r>
      <w:r>
        <w:rPr>
          <w:b/>
          <w:i/>
          <w:sz w:val="22"/>
          <w:szCs w:val="22"/>
        </w:rPr>
        <w:t>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>
          <w:b/>
          <w:i/>
          <w:i/>
          <w:sz w:val="22"/>
          <w:szCs w:val="22"/>
        </w:rPr>
      </w:pPr>
      <w:r>
        <w:rPr>
          <w:b/>
          <w:i/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caps/>
          <w:sz w:val="22"/>
          <w:szCs w:val="22"/>
        </w:rPr>
      </w:pPr>
      <w:r>
        <w:rPr>
          <w:b/>
          <w:sz w:val="22"/>
          <w:szCs w:val="22"/>
        </w:rPr>
        <w:t>РЕЗУЛЬТАТЫ ГОЛОСОВАНИЯ: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2"/>
          <w:szCs w:val="22"/>
        </w:rPr>
        <w:t>«За» _______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22"/>
          <w:szCs w:val="22"/>
        </w:rPr>
        <w:t>«Против» _______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>
          <w:sz w:val="22"/>
          <w:szCs w:val="22"/>
        </w:rPr>
      </w:pPr>
      <w:r>
        <w:rPr>
          <w:sz w:val="22"/>
          <w:szCs w:val="22"/>
        </w:rPr>
        <w:t>«Воздержалось» _______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  <w:t>ПОДПИСИ ЧЛЕНОВ Закупочной КОМИССИИ: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3969" w:leader="none"/>
        </w:tabs>
        <w:spacing w:lineRule="auto" w:line="240"/>
        <w:ind w:start="0" w:hanging="0" w:end="0"/>
        <w:outlineLvl w:val="1"/>
        <w:rPr>
          <w:sz w:val="22"/>
          <w:szCs w:val="22"/>
        </w:rPr>
      </w:pPr>
      <w:r>
        <w:rPr>
          <w:sz w:val="22"/>
          <w:szCs w:val="22"/>
        </w:rPr>
        <w:t>Председатель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3969" w:leader="none"/>
        </w:tabs>
        <w:spacing w:lineRule="auto" w:line="240"/>
        <w:ind w:start="0" w:hanging="0" w:end="0"/>
        <w:outlineLvl w:val="1"/>
        <w:rPr>
          <w:sz w:val="22"/>
          <w:szCs w:val="22"/>
        </w:rPr>
      </w:pPr>
      <w:r>
        <w:rPr>
          <w:sz w:val="22"/>
          <w:szCs w:val="22"/>
        </w:rPr>
        <w:t>закупочной комиссии:</w:t>
        <w:tab/>
        <w:t>_________________________</w:t>
        <w:tab/>
        <w:t>Филатов А.В.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3969" w:leader="none"/>
        </w:tabs>
        <w:spacing w:lineRule="auto" w:line="240"/>
        <w:ind w:start="0" w:hanging="0" w:end="0"/>
        <w:outlineLvl w:val="1"/>
        <w:rPr/>
      </w:pPr>
      <w:r>
        <w:rPr>
          <w:sz w:val="22"/>
          <w:szCs w:val="22"/>
        </w:rPr>
        <w:t>Заместитель председателя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3969" w:leader="none"/>
        </w:tabs>
        <w:spacing w:lineRule="auto" w:line="240"/>
        <w:ind w:start="0" w:hanging="0" w:end="0"/>
        <w:outlineLvl w:val="1"/>
        <w:rPr>
          <w:sz w:val="22"/>
          <w:szCs w:val="22"/>
        </w:rPr>
      </w:pPr>
      <w:r>
        <w:rPr>
          <w:sz w:val="22"/>
          <w:szCs w:val="22"/>
        </w:rPr>
        <w:t>закупочной комиссии:</w:t>
        <w:tab/>
        <w:t>_________________________</w:t>
        <w:tab/>
        <w:t xml:space="preserve"> Кобелева Е.Ю.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3969" w:leader="none"/>
        </w:tabs>
        <w:spacing w:lineRule="auto" w:line="240"/>
        <w:ind w:start="0" w:hanging="0" w:end="0"/>
        <w:outlineLvl w:val="1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keepNext w:val="true"/>
        <w:numPr>
          <w:ilvl w:val="0"/>
          <w:numId w:val="0"/>
        </w:numPr>
        <w:tabs>
          <w:tab w:val="clear" w:pos="567"/>
          <w:tab w:val="left" w:pos="3969" w:leader="none"/>
        </w:tabs>
        <w:spacing w:before="0" w:after="120"/>
        <w:ind w:start="0" w:hanging="0" w:end="0"/>
        <w:outlineLvl w:val="1"/>
        <w:rPr/>
      </w:pPr>
      <w:r>
        <w:rPr>
          <w:sz w:val="22"/>
          <w:szCs w:val="22"/>
        </w:rPr>
        <w:t>Члены закупочной комиссии:</w:t>
        <w:tab/>
        <w:tab/>
        <w:t>_________________________</w:t>
        <w:tab/>
        <w:t xml:space="preserve"> Скрябин В.Ю.</w:t>
      </w:r>
    </w:p>
    <w:p>
      <w:pPr>
        <w:pStyle w:val="Normal"/>
        <w:keepNext w:val="true"/>
        <w:numPr>
          <w:ilvl w:val="0"/>
          <w:numId w:val="0"/>
        </w:numPr>
        <w:tabs>
          <w:tab w:val="clear" w:pos="567"/>
          <w:tab w:val="left" w:pos="3969" w:leader="none"/>
        </w:tabs>
        <w:spacing w:before="0" w:after="120"/>
        <w:ind w:start="0" w:hanging="0" w:end="0"/>
        <w:outlineLvl w:val="1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</w:t>
      </w:r>
      <w:r>
        <w:rPr>
          <w:sz w:val="22"/>
          <w:szCs w:val="22"/>
        </w:rPr>
        <w:t xml:space="preserve">_________________________ </w:t>
        <w:tab/>
        <w:t>Седанов И.А.</w:t>
      </w:r>
    </w:p>
    <w:p>
      <w:pPr>
        <w:pStyle w:val="Normal"/>
        <w:keepNext w:val="true"/>
        <w:numPr>
          <w:ilvl w:val="0"/>
          <w:numId w:val="0"/>
        </w:numPr>
        <w:tabs>
          <w:tab w:val="clear" w:pos="567"/>
          <w:tab w:val="left" w:pos="3969" w:leader="none"/>
        </w:tabs>
        <w:spacing w:before="0" w:after="120"/>
        <w:ind w:start="0" w:hanging="0" w:end="0"/>
        <w:outlineLvl w:val="1"/>
        <w:rPr/>
      </w:pPr>
      <w:r>
        <w:rPr>
          <w:sz w:val="22"/>
          <w:szCs w:val="22"/>
        </w:rPr>
        <w:t xml:space="preserve">                                                                  </w:t>
      </w:r>
      <w:r>
        <w:rPr>
          <w:sz w:val="22"/>
          <w:szCs w:val="22"/>
        </w:rPr>
        <w:t>_________________________</w:t>
        <w:tab/>
        <w:t>Тихонов С.А.</w:t>
      </w:r>
    </w:p>
    <w:p>
      <w:pPr>
        <w:pStyle w:val="Normal"/>
        <w:keepNext w:val="true"/>
        <w:numPr>
          <w:ilvl w:val="0"/>
          <w:numId w:val="0"/>
        </w:numPr>
        <w:tabs>
          <w:tab w:val="clear" w:pos="567"/>
          <w:tab w:val="left" w:pos="3969" w:leader="none"/>
        </w:tabs>
        <w:spacing w:before="0" w:after="120"/>
        <w:ind w:start="0" w:hanging="0" w:end="0"/>
        <w:outlineLvl w:val="1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>_________________________</w:t>
        <w:tab/>
        <w:t>Ковтунов Д.А.</w:t>
      </w:r>
    </w:p>
    <w:p>
      <w:pPr>
        <w:pStyle w:val="Normal"/>
        <w:keepNext w:val="true"/>
        <w:numPr>
          <w:ilvl w:val="0"/>
          <w:numId w:val="0"/>
        </w:numPr>
        <w:tabs>
          <w:tab w:val="clear" w:pos="567"/>
          <w:tab w:val="left" w:pos="3969" w:leader="none"/>
        </w:tabs>
        <w:spacing w:before="0" w:after="120"/>
        <w:ind w:start="0" w:hanging="0" w:end="0"/>
        <w:outlineLvl w:val="1"/>
        <w:rPr/>
      </w:pPr>
      <w:r>
        <w:rPr>
          <w:sz w:val="22"/>
          <w:szCs w:val="22"/>
        </w:rPr>
        <w:t xml:space="preserve">                                                                  </w:t>
      </w:r>
      <w:r>
        <w:rPr>
          <w:sz w:val="22"/>
          <w:szCs w:val="22"/>
        </w:rPr>
        <w:t>_________________________</w:t>
        <w:tab/>
        <w:t xml:space="preserve"> Свирин К.А.</w:t>
      </w:r>
    </w:p>
    <w:p>
      <w:pPr>
        <w:pStyle w:val="Normal"/>
        <w:keepNext w:val="true"/>
        <w:numPr>
          <w:ilvl w:val="0"/>
          <w:numId w:val="0"/>
        </w:numPr>
        <w:tabs>
          <w:tab w:val="clear" w:pos="567"/>
          <w:tab w:val="left" w:pos="3969" w:leader="none"/>
        </w:tabs>
        <w:spacing w:before="0" w:after="120"/>
        <w:ind w:start="0" w:hanging="0" w:end="0"/>
        <w:outlineLvl w:val="1"/>
        <w:rPr/>
      </w:pPr>
      <w:r>
        <w:rPr>
          <w:sz w:val="22"/>
          <w:szCs w:val="22"/>
        </w:rPr>
        <w:t xml:space="preserve">                                                              </w:t>
      </w:r>
      <w:r>
        <w:rPr>
          <w:sz w:val="22"/>
          <w:szCs w:val="22"/>
        </w:rPr>
        <w:tab/>
        <w:t xml:space="preserve"> _________________________</w:t>
        <w:tab/>
        <w:t xml:space="preserve"> Донских А.П.</w:t>
      </w:r>
    </w:p>
    <w:p>
      <w:pPr>
        <w:pStyle w:val="Normal"/>
        <w:keepNext w:val="true"/>
        <w:numPr>
          <w:ilvl w:val="0"/>
          <w:numId w:val="0"/>
        </w:numPr>
        <w:tabs>
          <w:tab w:val="clear" w:pos="567"/>
          <w:tab w:val="left" w:pos="3969" w:leader="none"/>
        </w:tabs>
        <w:spacing w:before="0" w:after="120"/>
        <w:ind w:start="0" w:hanging="0" w:end="0"/>
        <w:outlineLvl w:val="1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</w:t>
      </w:r>
      <w:r>
        <w:rPr>
          <w:sz w:val="22"/>
          <w:szCs w:val="22"/>
        </w:rPr>
        <w:t>_________________________</w:t>
        <w:tab/>
        <w:t xml:space="preserve"> Фидаров В.В.</w:t>
      </w:r>
    </w:p>
    <w:p>
      <w:pPr>
        <w:pStyle w:val="Normal"/>
        <w:keepNext w:val="true"/>
        <w:numPr>
          <w:ilvl w:val="0"/>
          <w:numId w:val="0"/>
        </w:numPr>
        <w:tabs>
          <w:tab w:val="clear" w:pos="567"/>
          <w:tab w:val="left" w:pos="3969" w:leader="none"/>
        </w:tabs>
        <w:spacing w:before="0" w:after="120"/>
        <w:ind w:start="0" w:hanging="0" w:end="0"/>
        <w:outlineLvl w:val="1"/>
        <w:rPr/>
      </w:pPr>
      <w:r>
        <w:rPr>
          <w:sz w:val="22"/>
          <w:szCs w:val="22"/>
        </w:rPr>
        <w:t xml:space="preserve">                                                                           </w:t>
      </w:r>
      <w:r>
        <w:rPr>
          <w:sz w:val="22"/>
          <w:szCs w:val="22"/>
        </w:rPr>
        <w:t xml:space="preserve">по опросному листу           </w:t>
        <w:tab/>
        <w:t xml:space="preserve"> Солянин Р.В.</w:t>
        <w:tab/>
      </w:r>
    </w:p>
    <w:p>
      <w:pPr>
        <w:pStyle w:val="Normal"/>
        <w:keepNext w:val="true"/>
        <w:numPr>
          <w:ilvl w:val="0"/>
          <w:numId w:val="0"/>
        </w:numPr>
        <w:tabs>
          <w:tab w:val="clear" w:pos="567"/>
          <w:tab w:val="left" w:pos="3969" w:leader="none"/>
        </w:tabs>
        <w:spacing w:lineRule="auto" w:line="240"/>
        <w:ind w:start="0" w:hanging="0" w:end="0"/>
        <w:outlineLvl w:val="1"/>
        <w:rPr>
          <w:sz w:val="22"/>
          <w:szCs w:val="22"/>
        </w:rPr>
      </w:pPr>
      <w:r>
        <w:rPr>
          <w:sz w:val="22"/>
          <w:szCs w:val="22"/>
        </w:rPr>
        <w:t>Ответственный секретарь</w:t>
      </w:r>
    </w:p>
    <w:p>
      <w:pPr>
        <w:pStyle w:val="Normal"/>
        <w:keepNext w:val="true"/>
        <w:numPr>
          <w:ilvl w:val="0"/>
          <w:numId w:val="0"/>
        </w:numPr>
        <w:tabs>
          <w:tab w:val="clear" w:pos="567"/>
          <w:tab w:val="left" w:pos="3969" w:leader="none"/>
        </w:tabs>
        <w:spacing w:lineRule="auto" w:line="240"/>
        <w:ind w:start="0" w:hanging="0" w:end="0"/>
        <w:outlineLvl w:val="1"/>
        <w:rPr>
          <w:caps/>
          <w:sz w:val="22"/>
          <w:szCs w:val="22"/>
        </w:rPr>
      </w:pPr>
      <w:r>
        <w:rPr>
          <w:sz w:val="22"/>
          <w:szCs w:val="22"/>
        </w:rPr>
        <w:t>закупочной комиссии:</w:t>
        <w:tab/>
        <w:t xml:space="preserve">   ________________________      Левыкина О.Г.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caps/>
          <w:sz w:val="24"/>
          <w:szCs w:val="24"/>
        </w:rPr>
      </w:pPr>
      <w:r>
        <w:rPr>
          <w:b/>
          <w:caps/>
          <w:sz w:val="24"/>
          <w:szCs w:val="24"/>
        </w:rPr>
      </w:r>
    </w:p>
    <w:sectPr>
      <w:headerReference w:type="default" r:id="rId6"/>
      <w:footerReference w:type="default" r:id="rId7"/>
      <w:type w:val="nextPage"/>
      <w:pgSz w:w="11906" w:h="16838"/>
      <w:pgMar w:left="1134" w:right="849" w:gutter="0" w:header="680" w:top="166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MinionPro-Regular">
    <w:altName w:val="Times New Roman"/>
    <w:charset w:val="cc" w:characterSet="windows-1251"/>
    <w:family w:val="auto"/>
    <w:pitch w:val="default"/>
  </w:font>
  <w:font w:name="PF Din Text Cond Pro Light">
    <w:altName w:val="Calibri"/>
    <w:charset w:val="cc" w:characterSet="windows-1251"/>
    <w:family w:val="auto"/>
    <w:pitch w:val="variable"/>
  </w:font>
  <w:font w:name="PF Din Text Cond Pro">
    <w:altName w:val="Calibri"/>
    <w:charset w:val="00" w:characterSet="windows-1252"/>
    <w:family w:val="auto"/>
    <w:pitch w:val="variable"/>
  </w:font>
  <w:font w:name="Calibri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Style w:val="PageNumber"/>
      </w:rPr>
      <w:t xml:space="preserve">стр.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5</w:t>
    </w:r>
    <w:r>
      <w:rPr>
        <w:rStyle w:val="PageNumber"/>
      </w:rPr>
      <w:fldChar w:fldCharType="end"/>
    </w:r>
    <w:r>
      <w:rPr>
        <w:rStyle w:val="PageNumber"/>
      </w:rPr>
      <w:t xml:space="preserve"> из </w:t>
    </w:r>
    <w:r>
      <w:rPr>
        <w:rStyle w:val="PageNumber"/>
      </w:rPr>
      <w:fldChar w:fldCharType="begin"/>
    </w:r>
    <w:r>
      <w:rPr>
        <w:rStyle w:val="PageNumber"/>
      </w:rPr>
      <w:instrText xml:space="preserve"> NUMPAGES \* ARABIC </w:instrText>
    </w:r>
    <w:r>
      <w:rPr>
        <w:rStyle w:val="PageNumber"/>
      </w:rPr>
      <w:fldChar w:fldCharType="separate"/>
    </w:r>
    <w:r>
      <w:rPr>
        <w:rStyle w:val="PageNumber"/>
      </w:rPr>
      <w:t>5</w:t>
    </w:r>
    <w:r>
      <w:rPr>
        <w:rStyle w:val="PageNumber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0" w:color="000000"/>
      </w:pBdr>
      <w:jc w:val="end"/>
      <w:rPr/>
    </w:pPr>
    <w:r>
      <w:rPr/>
      <w:t xml:space="preserve">Протокол очного заседания Закупочной комиссии по рассмотрению </w:t>
    </w:r>
  </w:p>
  <w:p>
    <w:pPr>
      <w:pStyle w:val="Header"/>
      <w:pBdr>
        <w:bottom w:val="single" w:sz="4" w:space="0" w:color="000000"/>
      </w:pBdr>
      <w:jc w:val="end"/>
      <w:rPr/>
    </w:pPr>
    <w:r>
      <w:rPr/>
      <w:t xml:space="preserve">ценовых предложений участников и по </w:t>
    </w:r>
  </w:p>
  <w:p>
    <w:pPr>
      <w:pStyle w:val="Header"/>
      <w:pBdr>
        <w:bottom w:val="single" w:sz="4" w:space="0" w:color="000000"/>
      </w:pBdr>
      <w:jc w:val="end"/>
      <w:rPr>
        <w:lang w:val="ru-RU"/>
      </w:rPr>
    </w:pPr>
    <w:r>
      <w:rPr/>
      <w:t xml:space="preserve">подведению итогов закупочной процедуры № </w:t>
    </w:r>
    <w:r>
      <w:rPr>
        <w:lang w:val="ru-RU"/>
      </w:rPr>
      <w:t>0245</w:t>
    </w:r>
    <w:r>
      <w:rPr/>
      <w:t>-</w:t>
    </w:r>
    <w:r>
      <w:rPr>
        <w:lang w:val="ru-RU"/>
      </w:rPr>
      <w:t>ТА</w:t>
    </w:r>
    <w:r>
      <w:rPr/>
      <w:t>-</w:t>
    </w:r>
    <w:r>
      <w:rPr>
        <w:lang w:val="ru-RU"/>
      </w:rPr>
      <w:t>25</w:t>
    </w:r>
    <w:r>
      <w:rPr/>
      <w:t>-</w:t>
    </w:r>
    <w:r>
      <w:rPr>
        <w:lang w:val="ru-RU"/>
      </w:rPr>
      <w:t>2</w:t>
    </w:r>
  </w:p>
  <w:p>
    <w:pPr>
      <w:pStyle w:val="Header"/>
      <w:pBdr>
        <w:bottom w:val="single" w:sz="4" w:space="0" w:color="000000"/>
      </w:pBdr>
      <w:jc w:val="end"/>
      <w:rPr>
        <w:sz w:val="6"/>
        <w:szCs w:val="6"/>
        <w:lang w:val="ru-RU"/>
      </w:rPr>
    </w:pPr>
    <w:r>
      <w:rPr>
        <w:sz w:val="6"/>
        <w:szCs w:val="6"/>
        <w:lang w:val="ru-RU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432"/>
        </w:tabs>
        <w:ind w:start="432" w:hanging="432"/>
      </w:pPr>
      <w:rPr/>
    </w:lvl>
    <w:lvl w:ilvl="1">
      <w:start w:val="1"/>
      <w:numFmt w:val="decimal"/>
      <w:lvlText w:val="%1.%2."/>
      <w:lvlJc w:val="start"/>
      <w:pPr>
        <w:tabs>
          <w:tab w:val="num" w:pos="576"/>
        </w:tabs>
        <w:ind w:start="576" w:hanging="576"/>
      </w:pPr>
      <w:rPr/>
    </w:lvl>
    <w:lvl w:ilvl="2">
      <w:start w:val="1"/>
      <w:numFmt w:val="decimal"/>
      <w:lvlText w:val="%1.%2.%3."/>
      <w:lvlJc w:val="start"/>
      <w:pPr>
        <w:tabs>
          <w:tab w:val="num" w:pos="72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  <w:rPr/>
    </w:lvl>
    <w:lvl w:ilvl="4">
      <w:start w:val="1"/>
      <w:pStyle w:val="Heading5"/>
      <w:numFmt w:val="decimal"/>
      <w:lvlText w:val="%1.%2.%3.%4.%5"/>
      <w:lvlJc w:val="start"/>
      <w:pPr>
        <w:tabs>
          <w:tab w:val="num" w:pos="1008"/>
        </w:tabs>
        <w:ind w:start="1008" w:hanging="1008"/>
      </w:pPr>
      <w:rPr/>
    </w:lvl>
    <w:lvl w:ilvl="5">
      <w:start w:val="1"/>
      <w:pStyle w:val="Heading6"/>
      <w:numFmt w:val="decimal"/>
      <w:lvlText w:val="%1.%2.%3.%4.%5.%6"/>
      <w:lvlJc w:val="start"/>
      <w:pPr>
        <w:tabs>
          <w:tab w:val="num" w:pos="1152"/>
        </w:tabs>
        <w:ind w:start="1152" w:hanging="1152"/>
      </w:pPr>
      <w:rPr/>
    </w:lvl>
    <w:lvl w:ilvl="6">
      <w:start w:val="1"/>
      <w:pStyle w:val="Heading7"/>
      <w:numFmt w:val="decimal"/>
      <w:lvlText w:val="%1.%2.%3.%4.%5.%6.%7"/>
      <w:lvlJc w:val="start"/>
      <w:pPr>
        <w:tabs>
          <w:tab w:val="num" w:pos="1296"/>
        </w:tabs>
        <w:ind w:start="1296" w:hanging="1296"/>
      </w:pPr>
      <w:rPr/>
    </w:lvl>
    <w:lvl w:ilvl="7">
      <w:start w:val="1"/>
      <w:pStyle w:val="Heading8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  <w:rPr/>
    </w:lvl>
    <w:lvl w:ilvl="8">
      <w:start w:val="1"/>
      <w:pStyle w:val="Heading9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567"/>
        </w:tabs>
        <w:ind w:start="153" w:firstLine="567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1134"/>
        </w:tabs>
        <w:ind w:start="1134" w:hanging="1134"/>
      </w:pPr>
      <w:rPr/>
    </w:lvl>
    <w:lvl w:ilvl="1">
      <w:start w:val="1"/>
      <w:numFmt w:val="decimal"/>
      <w:lvlText w:val="%1.%2"/>
      <w:lvlJc w:val="start"/>
      <w:pPr>
        <w:tabs>
          <w:tab w:val="num" w:pos="1134"/>
        </w:tabs>
        <w:ind w:start="1134" w:hanging="1134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3">
      <w:start w:val="1"/>
      <w:numFmt w:val="decimal"/>
      <w:lvlText w:val="%1.%2.%3.%4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4">
      <w:start w:val="1"/>
      <w:numFmt w:val="lowerLetter"/>
      <w:lvlText w:val="%5)"/>
      <w:lvlJc w:val="start"/>
      <w:pPr>
        <w:tabs>
          <w:tab w:val="num" w:pos="1701"/>
        </w:tabs>
        <w:ind w:start="1701" w:hanging="567"/>
      </w:pPr>
      <w:rPr/>
    </w:lvl>
    <w:lvl w:ilvl="5">
      <w:start w:val="1"/>
      <w:numFmt w:val="decimal"/>
      <w:lvlText w:val="%1.%2.%3.%4.%5.%6."/>
      <w:lvlJc w:val="start"/>
      <w:pPr>
        <w:tabs>
          <w:tab w:val="num" w:pos="396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468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540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6120"/>
        </w:tabs>
        <w:ind w:start="4320" w:hanging="1440"/>
      </w:pPr>
      <w:rPr/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1430"/>
        </w:tabs>
        <w:ind w:start="143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20"/>
  <w:defaultTabStop w:val="567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/>
      <w:ind w:firstLine="567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pageBreakBefore/>
      <w:numPr>
        <w:ilvl w:val="0"/>
        <w:numId w:val="8"/>
      </w:numPr>
      <w:suppressAutoHyphens w:val="true"/>
      <w:spacing w:lineRule="auto" w:line="240" w:before="480" w:after="240"/>
      <w:jc w:val="start"/>
      <w:outlineLvl w:val="0"/>
    </w:pPr>
    <w:rPr>
      <w:rFonts w:ascii="Arial" w:hAnsi="Arial" w:cs="Arial"/>
      <w:b/>
      <w:kern w:val="2"/>
      <w:sz w:val="40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8"/>
      </w:numPr>
      <w:suppressAutoHyphens w:val="true"/>
      <w:spacing w:lineRule="auto" w:line="240" w:before="360" w:after="120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7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7"/>
      </w:numPr>
      <w:tabs>
        <w:tab w:val="clear" w:pos="567"/>
        <w:tab w:val="left" w:pos="1134" w:leader="none"/>
      </w:tabs>
      <w:suppressAutoHyphens w:val="true"/>
      <w:spacing w:lineRule="auto" w:line="240" w:before="240" w:after="120"/>
      <w:ind w:firstLine="567" w:start="1134" w:end="0"/>
      <w:outlineLvl w:val="3"/>
    </w:pPr>
    <w:rPr>
      <w:b/>
      <w:i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tabs>
        <w:tab w:val="clear" w:pos="567"/>
        <w:tab w:val="left" w:pos="1080" w:leader="none"/>
      </w:tabs>
      <w:suppressAutoHyphens w:val="true"/>
      <w:spacing w:before="60" w:after="0"/>
      <w:ind w:hanging="1080" w:start="1080" w:end="0"/>
      <w:outlineLvl w:val="4"/>
    </w:pPr>
    <w:rPr>
      <w:b/>
      <w:sz w:val="26"/>
    </w:rPr>
  </w:style>
  <w:style w:type="paragraph" w:styleId="Heading6">
    <w:name w:val="heading 6"/>
    <w:basedOn w:val="Normal"/>
    <w:next w:val="Normal"/>
    <w:qFormat/>
    <w:pPr>
      <w:widowControl w:val="false"/>
      <w:numPr>
        <w:ilvl w:val="5"/>
        <w:numId w:val="1"/>
      </w:numPr>
      <w:tabs>
        <w:tab w:val="clear" w:pos="567"/>
        <w:tab w:val="left" w:pos="1080" w:leader="none"/>
      </w:tabs>
      <w:suppressAutoHyphens w:val="true"/>
      <w:spacing w:before="240" w:after="60"/>
      <w:ind w:hanging="1080" w:start="1080" w:end="0"/>
      <w:outlineLvl w:val="5"/>
    </w:pPr>
    <w:rPr>
      <w:b/>
      <w:sz w:val="22"/>
    </w:rPr>
  </w:style>
  <w:style w:type="paragraph" w:styleId="Heading7">
    <w:name w:val="heading 7"/>
    <w:basedOn w:val="Normal"/>
    <w:next w:val="Normal"/>
    <w:qFormat/>
    <w:pPr>
      <w:widowControl w:val="false"/>
      <w:numPr>
        <w:ilvl w:val="6"/>
        <w:numId w:val="1"/>
      </w:numPr>
      <w:tabs>
        <w:tab w:val="clear" w:pos="567"/>
        <w:tab w:val="left" w:pos="1440" w:leader="none"/>
      </w:tabs>
      <w:suppressAutoHyphens w:val="true"/>
      <w:spacing w:before="240" w:after="60"/>
      <w:ind w:hanging="1440" w:start="1440" w:end="0"/>
      <w:outlineLvl w:val="6"/>
    </w:pPr>
    <w:rPr>
      <w:sz w:val="26"/>
    </w:rPr>
  </w:style>
  <w:style w:type="paragraph" w:styleId="Heading8">
    <w:name w:val="heading 8"/>
    <w:basedOn w:val="Normal"/>
    <w:next w:val="Normal"/>
    <w:qFormat/>
    <w:pPr>
      <w:widowControl w:val="false"/>
      <w:numPr>
        <w:ilvl w:val="7"/>
        <w:numId w:val="1"/>
      </w:numPr>
      <w:suppressAutoHyphens w:val="true"/>
      <w:spacing w:before="240" w:after="60"/>
      <w:outlineLvl w:val="7"/>
    </w:pPr>
    <w:rPr>
      <w:i/>
      <w:sz w:val="26"/>
    </w:rPr>
  </w:style>
  <w:style w:type="paragraph" w:styleId="Heading9">
    <w:name w:val="heading 9"/>
    <w:basedOn w:val="Normal"/>
    <w:next w:val="Normal"/>
    <w:qFormat/>
    <w:pPr>
      <w:widowControl w:val="false"/>
      <w:numPr>
        <w:ilvl w:val="8"/>
        <w:numId w:val="1"/>
      </w:numPr>
      <w:tabs>
        <w:tab w:val="clear" w:pos="567"/>
        <w:tab w:val="left" w:pos="1800" w:leader="none"/>
      </w:tabs>
      <w:suppressAutoHyphens w:val="true"/>
      <w:spacing w:before="240" w:after="60"/>
      <w:ind w:hanging="1800" w:start="1800" w:end="0"/>
      <w:outlineLvl w:val="8"/>
    </w:pPr>
    <w:rPr>
      <w:rFonts w:ascii="Arial" w:hAnsi="Arial" w:cs="Arial"/>
      <w:sz w:val="22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3z0">
    <w:name w:val="WW8Num3z0"/>
    <w:qFormat/>
    <w:rPr>
      <w:b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1z0">
    <w:name w:val="WW8Num11z0"/>
    <w:qFormat/>
    <w:rPr>
      <w:b w:val="false"/>
    </w:rPr>
  </w:style>
  <w:style w:type="character" w:styleId="WW8Num11z1">
    <w:name w:val="WW8Num11z1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4z2">
    <w:name w:val="WW8Num14z2"/>
    <w:qFormat/>
    <w:rPr>
      <w:b w:val="false"/>
      <w:i w:val="false"/>
    </w:rPr>
  </w:style>
  <w:style w:type="character" w:styleId="WW8Num15z0">
    <w:name w:val="WW8Num15z0"/>
    <w:qFormat/>
    <w:rPr>
      <w:rFonts w:ascii="Wingdings" w:hAnsi="Wingdings" w:cs="Wingdings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6z4">
    <w:name w:val="WW8Num16z4"/>
    <w:qFormat/>
    <w:rPr>
      <w:rFonts w:ascii="Courier New" w:hAnsi="Courier New" w:cs="Courier New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Times New Roman" w:hAnsi="Times New Roman" w:cs="Times New Roman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b/>
      <w:i w:val="false"/>
    </w:rPr>
  </w:style>
  <w:style w:type="character" w:styleId="WW8Num19z1">
    <w:name w:val="WW8Num19z1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>
      <w:rFonts w:ascii="Symbol" w:hAnsi="Symbol" w:cs="Symbol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2z0">
    <w:name w:val="WW8Num22z0"/>
    <w:qFormat/>
    <w:rPr>
      <w:b/>
    </w:rPr>
  </w:style>
  <w:style w:type="character" w:styleId="WW8Num22z1">
    <w:name w:val="WW8Num22z1"/>
    <w:qFormat/>
    <w:rPr/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Wingdings" w:hAnsi="Wingdings" w:cs="Wingdings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3">
    <w:name w:val="WW8Num24z3"/>
    <w:qFormat/>
    <w:rPr>
      <w:rFonts w:ascii="Symbol" w:hAnsi="Symbol" w:cs="Symbol"/>
    </w:rPr>
  </w:style>
  <w:style w:type="character" w:styleId="WW8Num25z0">
    <w:name w:val="WW8Num25z0"/>
    <w:qFormat/>
    <w:rPr/>
  </w:style>
  <w:style w:type="character" w:styleId="Style5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rPr>
      <w:rFonts w:ascii="Times New Roman" w:hAnsi="Times New Roman" w:cs="Times New Roman"/>
      <w:sz w:val="20"/>
    </w:rPr>
  </w:style>
  <w:style w:type="character" w:styleId="FollowedHyperlink">
    <w:name w:val="FollowedHyperlink"/>
    <w:rPr>
      <w:color w:val="800080"/>
      <w:u w:val="single"/>
    </w:rPr>
  </w:style>
  <w:style w:type="character" w:styleId="Style6">
    <w:name w:val="Пункт Знак"/>
    <w:qFormat/>
    <w:rPr>
      <w:sz w:val="28"/>
      <w:lang w:val="ru-RU" w:bidi="ar-SA"/>
    </w:rPr>
  </w:style>
  <w:style w:type="character" w:styleId="Style7">
    <w:name w:val="комментарий"/>
    <w:qFormat/>
    <w:rPr>
      <w:b/>
      <w:i/>
      <w:shd w:fill="FFFF99" w:val="clear"/>
    </w:rPr>
  </w:style>
  <w:style w:type="character" w:styleId="1">
    <w:name w:val="Основной текст Знак1"/>
    <w:qFormat/>
    <w:rPr>
      <w:sz w:val="28"/>
      <w:szCs w:val="24"/>
      <w:lang w:val="ru-RU" w:bidi="ar-SA"/>
    </w:rPr>
  </w:style>
  <w:style w:type="character" w:styleId="Style8">
    <w:name w:val="Обычный+ без отступа Знак"/>
    <w:qFormat/>
    <w:rPr>
      <w:rFonts w:eastAsia="MS Mincho;ＭＳ 明朝"/>
      <w:sz w:val="28"/>
      <w:szCs w:val="28"/>
      <w:lang w:val="ru-RU" w:bidi="ar-SA"/>
    </w:rPr>
  </w:style>
  <w:style w:type="character" w:styleId="Style9">
    <w:name w:val="Название Знак"/>
    <w:qFormat/>
    <w:rPr>
      <w:sz w:val="28"/>
    </w:rPr>
  </w:style>
  <w:style w:type="character" w:styleId="Style10">
    <w:name w:val="Верхний колонтитул Знак"/>
    <w:qFormat/>
    <w:rPr>
      <w:i/>
    </w:rPr>
  </w:style>
  <w:style w:type="character" w:styleId="Style11">
    <w:name w:val="Знак примечания"/>
    <w:qFormat/>
    <w:rPr>
      <w:sz w:val="16"/>
      <w:szCs w:val="16"/>
    </w:rPr>
  </w:style>
  <w:style w:type="character" w:styleId="fieldeditvalue1">
    <w:name w:val="fieldeditvalue1"/>
    <w:qFormat/>
    <w:rPr>
      <w:rFonts w:ascii="Tahoma" w:hAnsi="Tahoma" w:cs="Tahoma"/>
      <w:b w:val="false"/>
      <w:bCs w:val="false"/>
      <w:color w:val="6D6D6D"/>
      <w:sz w:val="18"/>
      <w:szCs w:val="18"/>
    </w:rPr>
  </w:style>
  <w:style w:type="character" w:styleId="3">
    <w:name w:val="Основной текст 3 Знак"/>
    <w:qFormat/>
    <w:rPr>
      <w:sz w:val="16"/>
      <w:szCs w:val="16"/>
    </w:rPr>
  </w:style>
  <w:style w:type="character" w:styleId="Style12">
    <w:name w:val="Неразрешенное упоминание"/>
    <w:qFormat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spacing w:lineRule="auto" w:line="240"/>
      <w:ind w:hanging="0" w:start="0" w:end="0"/>
      <w:jc w:val="center"/>
    </w:pPr>
    <w:rPr>
      <w:lang w:val="en-US"/>
    </w:rPr>
  </w:style>
  <w:style w:type="paragraph" w:styleId="BodyText">
    <w:name w:val="Body Text"/>
    <w:basedOn w:val="Normal"/>
    <w:pPr>
      <w:tabs>
        <w:tab w:val="clear" w:pos="567"/>
        <w:tab w:val="right" w:pos="9360" w:leader="none"/>
      </w:tabs>
      <w:spacing w:lineRule="auto" w:line="240"/>
      <w:ind w:hanging="0" w:start="0" w:end="0"/>
      <w:jc w:val="start"/>
    </w:pPr>
    <w:rPr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567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4" w:space="1" w:color="000000"/>
      </w:pBdr>
      <w:tabs>
        <w:tab w:val="clear" w:pos="567"/>
        <w:tab w:val="center" w:pos="4153" w:leader="none"/>
        <w:tab w:val="right" w:pos="8306" w:leader="none"/>
      </w:tabs>
      <w:spacing w:lineRule="auto" w:line="240"/>
      <w:ind w:hanging="0" w:start="0" w:end="0"/>
      <w:jc w:val="center"/>
    </w:pPr>
    <w:rPr>
      <w:i/>
      <w:sz w:val="20"/>
      <w:lang w:val="en-US"/>
    </w:rPr>
  </w:style>
  <w:style w:type="paragraph" w:styleId="Footer">
    <w:name w:val="footer"/>
    <w:basedOn w:val="Normal"/>
    <w:pPr>
      <w:tabs>
        <w:tab w:val="clear" w:pos="567"/>
        <w:tab w:val="center" w:pos="4253" w:leader="none"/>
        <w:tab w:val="right" w:pos="9356" w:leader="none"/>
      </w:tabs>
      <w:spacing w:lineRule="auto" w:line="240"/>
      <w:ind w:hanging="0" w:start="0" w:end="0"/>
    </w:pPr>
    <w:rPr>
      <w:sz w:val="20"/>
    </w:rPr>
  </w:style>
  <w:style w:type="paragraph" w:styleId="TOC1">
    <w:name w:val="toc 1"/>
    <w:basedOn w:val="Normal"/>
    <w:next w:val="Normal"/>
    <w:pPr>
      <w:tabs>
        <w:tab w:val="clear" w:pos="567"/>
        <w:tab w:val="left" w:pos="540" w:leader="none"/>
        <w:tab w:val="right" w:pos="10195" w:leader="dot"/>
      </w:tabs>
      <w:spacing w:lineRule="auto" w:line="240" w:before="240" w:after="120"/>
      <w:ind w:hanging="539" w:start="539" w:end="1134"/>
      <w:jc w:val="start"/>
    </w:pPr>
    <w:rPr>
      <w:b/>
      <w:bCs/>
      <w:caps/>
      <w:szCs w:val="28"/>
      <w:lang w:val="en-US" w:eastAsia="en-US"/>
    </w:rPr>
  </w:style>
  <w:style w:type="paragraph" w:styleId="TOC2">
    <w:name w:val="toc 2"/>
    <w:basedOn w:val="Normal"/>
    <w:next w:val="Normal"/>
    <w:pPr>
      <w:tabs>
        <w:tab w:val="clear" w:pos="567"/>
        <w:tab w:val="left" w:pos="1080" w:leader="none"/>
        <w:tab w:val="right" w:pos="10195" w:leader="dot"/>
      </w:tabs>
      <w:spacing w:lineRule="auto" w:line="240" w:before="120" w:after="120"/>
      <w:ind w:hanging="594" w:start="1134" w:end="1134"/>
      <w:jc w:val="start"/>
    </w:pPr>
    <w:rPr>
      <w:b/>
      <w:sz w:val="24"/>
      <w:szCs w:val="24"/>
      <w:lang w:val="en-US" w:eastAsia="en-US"/>
    </w:rPr>
  </w:style>
  <w:style w:type="paragraph" w:styleId="TOC3">
    <w:name w:val="toc 3"/>
    <w:basedOn w:val="Normal"/>
    <w:next w:val="Normal"/>
    <w:pPr>
      <w:tabs>
        <w:tab w:val="clear" w:pos="567"/>
        <w:tab w:val="left" w:pos="1980" w:leader="none"/>
        <w:tab w:val="right" w:pos="10195" w:leader="dot"/>
      </w:tabs>
      <w:spacing w:lineRule="auto" w:line="240" w:before="0" w:after="120"/>
      <w:ind w:hanging="902" w:start="1979" w:end="1134"/>
      <w:jc w:val="start"/>
    </w:pPr>
    <w:rPr>
      <w:iCs/>
      <w:sz w:val="24"/>
      <w:szCs w:val="24"/>
      <w:lang w:val="en-US" w:eastAsia="en-US"/>
    </w:rPr>
  </w:style>
  <w:style w:type="paragraph" w:styleId="TOC4">
    <w:name w:val="toc 4"/>
    <w:basedOn w:val="Normal"/>
    <w:next w:val="Normal"/>
    <w:pPr>
      <w:tabs>
        <w:tab w:val="clear" w:pos="567"/>
        <w:tab w:val="left" w:pos="2268" w:leader="none"/>
        <w:tab w:val="right" w:pos="10195" w:leader="dot"/>
      </w:tabs>
      <w:spacing w:lineRule="auto" w:line="240" w:before="0" w:after="60"/>
      <w:ind w:hanging="567" w:start="2268" w:end="1134"/>
      <w:jc w:val="start"/>
    </w:pPr>
    <w:rPr>
      <w:sz w:val="24"/>
      <w:szCs w:val="24"/>
    </w:rPr>
  </w:style>
  <w:style w:type="paragraph" w:styleId="Style13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</w:rPr>
  </w:style>
  <w:style w:type="paragraph" w:styleId="Style14">
    <w:name w:val="Таблица шапка"/>
    <w:basedOn w:val="Normal"/>
    <w:qFormat/>
    <w:pPr>
      <w:keepNext w:val="true"/>
      <w:spacing w:lineRule="auto" w:line="240" w:before="40" w:after="40"/>
      <w:ind w:hanging="0" w:start="57" w:end="57"/>
      <w:jc w:val="start"/>
    </w:pPr>
    <w:rPr>
      <w:sz w:val="22"/>
    </w:rPr>
  </w:style>
  <w:style w:type="paragraph" w:styleId="FootnoteText">
    <w:name w:val="footnote text"/>
    <w:basedOn w:val="Normal"/>
    <w:pPr>
      <w:spacing w:lineRule="auto" w:line="240"/>
    </w:pPr>
    <w:rPr>
      <w:sz w:val="20"/>
    </w:rPr>
  </w:style>
  <w:style w:type="paragraph" w:styleId="Style15">
    <w:name w:val="Таблица текст"/>
    <w:basedOn w:val="Normal"/>
    <w:qFormat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6">
    <w:name w:val="Название объекта"/>
    <w:basedOn w:val="Normal"/>
    <w:next w:val="Normal"/>
    <w:qFormat/>
    <w:pPr>
      <w:pageBreakBefore/>
      <w:suppressAutoHyphens w:val="true"/>
      <w:spacing w:lineRule="auto" w:line="240" w:before="120" w:after="120"/>
      <w:ind w:hanging="0" w:start="0" w:end="0"/>
    </w:pPr>
    <w:rPr>
      <w:bCs/>
      <w:i/>
      <w:sz w:val="24"/>
    </w:rPr>
  </w:style>
  <w:style w:type="paragraph" w:styleId="TOC5">
    <w:name w:val="toc 5"/>
    <w:basedOn w:val="Normal"/>
    <w:next w:val="Normal"/>
    <w:pPr>
      <w:ind w:firstLine="567" w:start="1120" w:end="0"/>
      <w:jc w:val="start"/>
    </w:pPr>
    <w:rPr>
      <w:sz w:val="18"/>
      <w:szCs w:val="18"/>
    </w:rPr>
  </w:style>
  <w:style w:type="paragraph" w:styleId="TOC6">
    <w:name w:val="toc 6"/>
    <w:basedOn w:val="Normal"/>
    <w:next w:val="Normal"/>
    <w:pPr>
      <w:ind w:firstLine="567" w:start="1400" w:end="0"/>
      <w:jc w:val="start"/>
    </w:pPr>
    <w:rPr>
      <w:sz w:val="18"/>
      <w:szCs w:val="18"/>
    </w:rPr>
  </w:style>
  <w:style w:type="paragraph" w:styleId="TOC7">
    <w:name w:val="toc 7"/>
    <w:basedOn w:val="Normal"/>
    <w:next w:val="Normal"/>
    <w:pPr>
      <w:ind w:firstLine="567" w:start="1680" w:end="0"/>
      <w:jc w:val="start"/>
    </w:pPr>
    <w:rPr>
      <w:sz w:val="18"/>
      <w:szCs w:val="18"/>
    </w:rPr>
  </w:style>
  <w:style w:type="paragraph" w:styleId="TOC8">
    <w:name w:val="toc 8"/>
    <w:basedOn w:val="Normal"/>
    <w:next w:val="Normal"/>
    <w:pPr>
      <w:ind w:firstLine="567" w:start="1960" w:end="0"/>
      <w:jc w:val="start"/>
    </w:pPr>
    <w:rPr>
      <w:sz w:val="18"/>
      <w:szCs w:val="18"/>
    </w:rPr>
  </w:style>
  <w:style w:type="paragraph" w:styleId="TOC9">
    <w:name w:val="toc 9"/>
    <w:basedOn w:val="Normal"/>
    <w:next w:val="Normal"/>
    <w:pPr>
      <w:ind w:firstLine="567" w:start="2240" w:end="0"/>
      <w:jc w:val="start"/>
    </w:pPr>
    <w:rPr>
      <w:sz w:val="18"/>
      <w:szCs w:val="18"/>
    </w:rPr>
  </w:style>
  <w:style w:type="paragraph" w:styleId="Style17">
    <w:name w:val="Структура"/>
    <w:basedOn w:val="Normal"/>
    <w:qFormat/>
    <w:pPr>
      <w:pageBreakBefore/>
      <w:pBdr>
        <w:bottom w:val="thinThickSmallGap" w:sz="24" w:space="1" w:color="000000"/>
      </w:pBdr>
      <w:tabs>
        <w:tab w:val="clear" w:pos="567"/>
        <w:tab w:val="left" w:pos="851" w:leader="none"/>
      </w:tabs>
      <w:suppressAutoHyphens w:val="true"/>
      <w:spacing w:lineRule="auto" w:line="240" w:before="480" w:after="240"/>
      <w:ind w:hanging="0" w:start="0" w:end="2835"/>
      <w:jc w:val="start"/>
      <w:outlineLvl w:val="0"/>
    </w:pPr>
    <w:rPr>
      <w:rFonts w:ascii="Arial" w:hAnsi="Arial" w:cs="Arial"/>
      <w:b/>
      <w:caps/>
      <w:sz w:val="36"/>
      <w:szCs w:val="36"/>
    </w:rPr>
  </w:style>
  <w:style w:type="paragraph" w:styleId="Style18">
    <w:name w:val="Главы"/>
    <w:basedOn w:val="Style17"/>
    <w:next w:val="Normal"/>
    <w:qFormat/>
    <w:pPr>
      <w:numPr>
        <w:ilvl w:val="0"/>
        <w:numId w:val="0"/>
      </w:numPr>
      <w:pBdr>
        <w:bottom w:val="nil"/>
      </w:pBdr>
      <w:spacing w:lineRule="auto" w:line="360" w:before="1440" w:after="720"/>
      <w:ind w:hanging="0" w:start="0" w:end="0"/>
      <w:jc w:val="center"/>
    </w:pPr>
    <w:rPr>
      <w:spacing w:val="40"/>
      <w:sz w:val="44"/>
      <w:szCs w:val="44"/>
    </w:rPr>
  </w:style>
  <w:style w:type="paragraph" w:styleId="Style19">
    <w:name w:val="Служебный"/>
    <w:basedOn w:val="Style18"/>
    <w:qFormat/>
    <w:pPr>
      <w:numPr>
        <w:ilvl w:val="0"/>
        <w:numId w:val="0"/>
      </w:numPr>
      <w:ind w:hanging="0" w:start="0" w:end="0"/>
    </w:pPr>
    <w:rPr/>
  </w:style>
  <w:style w:type="paragraph" w:styleId="Style20">
    <w:name w:val="маркированный"/>
    <w:basedOn w:val="Normal"/>
    <w:qFormat/>
    <w:pPr>
      <w:ind w:hanging="0" w:start="0" w:end="0"/>
    </w:pPr>
    <w:rPr/>
  </w:style>
  <w:style w:type="paragraph" w:styleId="Style21">
    <w:name w:val="Пункт"/>
    <w:basedOn w:val="Normal"/>
    <w:qFormat/>
    <w:pPr>
      <w:numPr>
        <w:ilvl w:val="0"/>
        <w:numId w:val="8"/>
      </w:numPr>
    </w:pPr>
    <w:rPr/>
  </w:style>
  <w:style w:type="paragraph" w:styleId="Style22">
    <w:name w:val="Подпункт"/>
    <w:basedOn w:val="Normal"/>
    <w:qFormat/>
    <w:pPr>
      <w:tabs>
        <w:tab w:val="clear" w:pos="567"/>
        <w:tab w:val="left" w:pos="1134" w:leader="none"/>
      </w:tabs>
      <w:ind w:hanging="1134" w:start="1134" w:end="0"/>
    </w:pPr>
    <w:rPr/>
  </w:style>
  <w:style w:type="paragraph" w:styleId="-2">
    <w:name w:val="Пункт-2"/>
    <w:basedOn w:val="Style21"/>
    <w:qFormat/>
    <w:pPr>
      <w:keepNext w:val="true"/>
      <w:outlineLvl w:val="2"/>
    </w:pPr>
    <w:rPr>
      <w:b/>
    </w:rPr>
  </w:style>
  <w:style w:type="paragraph" w:styleId="Style23">
    <w:name w:val="Подподпункт"/>
    <w:basedOn w:val="Normal"/>
    <w:qFormat/>
    <w:pPr>
      <w:numPr>
        <w:ilvl w:val="0"/>
        <w:numId w:val="8"/>
      </w:numPr>
    </w:pPr>
    <w:rPr/>
  </w:style>
  <w:style w:type="paragraph" w:styleId="Style24">
    <w:name w:val="Нумерованный список"/>
    <w:basedOn w:val="Normal"/>
    <w:qFormat/>
    <w:pPr>
      <w:autoSpaceDE w:val="false"/>
      <w:spacing w:before="60" w:after="0"/>
      <w:ind w:hanging="0" w:start="0" w:end="0"/>
    </w:pPr>
    <w:rPr>
      <w:szCs w:val="24"/>
    </w:rPr>
  </w:style>
  <w:style w:type="paragraph" w:styleId="Style25">
    <w:name w:val="Текст таблицы"/>
    <w:basedOn w:val="Normal"/>
    <w:qFormat/>
    <w:pPr>
      <w:spacing w:lineRule="auto" w:line="240" w:before="40" w:after="40"/>
      <w:ind w:hanging="0" w:start="57" w:end="57"/>
      <w:jc w:val="start"/>
    </w:pPr>
    <w:rPr>
      <w:sz w:val="24"/>
      <w:szCs w:val="24"/>
    </w:rPr>
  </w:style>
  <w:style w:type="paragraph" w:styleId="Style26">
    <w:name w:val="Пункт б/н"/>
    <w:basedOn w:val="Normal"/>
    <w:qFormat/>
    <w:pPr>
      <w:tabs>
        <w:tab w:val="clear" w:pos="567"/>
        <w:tab w:val="left" w:pos="1134" w:leader="none"/>
      </w:tabs>
    </w:pPr>
    <w:rPr/>
  </w:style>
  <w:style w:type="paragraph" w:styleId="Style27">
    <w:name w:val="Маркированный список"/>
    <w:basedOn w:val="Normal"/>
    <w:qFormat/>
    <w:pPr>
      <w:spacing w:lineRule="auto" w:line="240"/>
      <w:ind w:hanging="374" w:start="731" w:end="0"/>
    </w:pPr>
    <w:rPr/>
  </w:style>
  <w:style w:type="paragraph" w:styleId="Style28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29">
    <w:name w:val="Текст примечания"/>
    <w:basedOn w:val="Normal"/>
    <w:qFormat/>
    <w:pPr/>
    <w:rPr>
      <w:sz w:val="20"/>
    </w:rPr>
  </w:style>
  <w:style w:type="paragraph" w:styleId="Style30">
    <w:name w:val="Тема примечания"/>
    <w:basedOn w:val="Style29"/>
    <w:next w:val="Style29"/>
    <w:qFormat/>
    <w:pPr/>
    <w:rPr>
      <w:b/>
      <w:bCs/>
    </w:rPr>
  </w:style>
  <w:style w:type="paragraph" w:styleId="31">
    <w:name w:val="Маркированный список 3"/>
    <w:basedOn w:val="Normal"/>
    <w:qFormat/>
    <w:pPr>
      <w:numPr>
        <w:ilvl w:val="0"/>
        <w:numId w:val="2"/>
      </w:numPr>
      <w:tabs>
        <w:tab w:val="clear" w:pos="567"/>
        <w:tab w:val="left" w:pos="1080" w:leader="none"/>
      </w:tabs>
      <w:spacing w:before="120" w:after="0"/>
      <w:ind w:firstLine="720" w:start="0" w:end="0"/>
    </w:pPr>
    <w:rPr>
      <w:i/>
      <w:iCs/>
      <w:sz w:val="24"/>
      <w:szCs w:val="24"/>
    </w:rPr>
  </w:style>
  <w:style w:type="paragraph" w:styleId="2">
    <w:name w:val="Маркированный список 2"/>
    <w:basedOn w:val="Normal"/>
    <w:qFormat/>
    <w:pPr>
      <w:widowControl w:val="false"/>
      <w:numPr>
        <w:ilvl w:val="0"/>
        <w:numId w:val="9"/>
      </w:numPr>
      <w:spacing w:before="120" w:after="0"/>
      <w:ind w:hanging="357" w:start="1429" w:end="0"/>
    </w:pPr>
    <w:rPr/>
  </w:style>
  <w:style w:type="paragraph" w:styleId="21">
    <w:name w:val="Основной текст 2"/>
    <w:basedOn w:val="Normal"/>
    <w:qFormat/>
    <w:pPr>
      <w:tabs>
        <w:tab w:val="clear" w:pos="567"/>
        <w:tab w:val="left" w:pos="2201" w:leader="none"/>
      </w:tabs>
      <w:spacing w:lineRule="auto" w:line="240"/>
      <w:ind w:hanging="0" w:start="0" w:end="0"/>
      <w:jc w:val="center"/>
    </w:pPr>
    <w:rPr>
      <w:kern w:val="2"/>
    </w:rPr>
  </w:style>
  <w:style w:type="paragraph" w:styleId="BodyTextIndent">
    <w:name w:val="Body Text Indent"/>
    <w:basedOn w:val="Normal"/>
    <w:pPr>
      <w:spacing w:lineRule="auto" w:line="240"/>
    </w:pPr>
    <w:rPr>
      <w:i/>
    </w:rPr>
  </w:style>
  <w:style w:type="paragraph" w:styleId="22">
    <w:name w:val="Основной текст с отступом 2"/>
    <w:basedOn w:val="Normal"/>
    <w:qFormat/>
    <w:pPr>
      <w:spacing w:lineRule="auto" w:line="240"/>
    </w:pPr>
    <w:rPr>
      <w:szCs w:val="24"/>
    </w:rPr>
  </w:style>
  <w:style w:type="paragraph" w:styleId="11">
    <w:name w:val="Стиль Заголовок 1 + по ширине"/>
    <w:basedOn w:val="Heading1"/>
    <w:qFormat/>
    <w:pPr>
      <w:pageBreakBefore w:val="false"/>
      <w:numPr>
        <w:ilvl w:val="0"/>
        <w:numId w:val="7"/>
      </w:numPr>
      <w:jc w:val="both"/>
    </w:pPr>
    <w:rPr>
      <w:bCs/>
    </w:rPr>
  </w:style>
  <w:style w:type="paragraph" w:styleId="32">
    <w:name w:val="заголовок 3"/>
    <w:basedOn w:val="Normal"/>
    <w:next w:val="Normal"/>
    <w:qFormat/>
    <w:pPr>
      <w:keepNext w:val="true"/>
      <w:autoSpaceDE w:val="false"/>
      <w:spacing w:before="120" w:after="0"/>
      <w:ind w:firstLine="720" w:start="0" w:end="0"/>
      <w:jc w:val="center"/>
      <w:outlineLvl w:val="2"/>
    </w:pPr>
    <w:rPr>
      <w:sz w:val="20"/>
      <w:szCs w:val="24"/>
    </w:rPr>
  </w:style>
  <w:style w:type="paragraph" w:styleId="Style31">
    <w:name w:val="Обычный+ без отступа"/>
    <w:basedOn w:val="Normal"/>
    <w:qFormat/>
    <w:pPr>
      <w:autoSpaceDE w:val="false"/>
      <w:spacing w:before="120" w:after="0"/>
      <w:ind w:hanging="0" w:start="0" w:end="0"/>
    </w:pPr>
    <w:rPr>
      <w:rFonts w:eastAsia="MS Mincho;ＭＳ 明朝"/>
      <w:szCs w:val="28"/>
    </w:rPr>
  </w:style>
  <w:style w:type="paragraph" w:styleId="Style32">
    <w:name w:val="Приложение"/>
    <w:basedOn w:val="Heading1"/>
    <w:qFormat/>
    <w:pPr>
      <w:pageBreakBefore w:val="false"/>
      <w:numPr>
        <w:ilvl w:val="0"/>
        <w:numId w:val="0"/>
      </w:numPr>
      <w:spacing w:lineRule="auto" w:line="360" w:before="60" w:after="0"/>
      <w:ind w:hanging="0" w:start="0" w:end="0"/>
      <w:jc w:val="center"/>
    </w:pPr>
    <w:rPr>
      <w:rFonts w:cs="Arial"/>
      <w:bCs/>
      <w:kern w:val="0"/>
      <w:sz w:val="28"/>
      <w:szCs w:val="28"/>
    </w:rPr>
  </w:style>
  <w:style w:type="paragraph" w:styleId="Style33">
    <w:name w:val="Подподподпункт"/>
    <w:basedOn w:val="Normal"/>
    <w:qFormat/>
    <w:pPr>
      <w:tabs>
        <w:tab w:val="clear" w:pos="567"/>
        <w:tab w:val="left" w:pos="1134" w:leader="none"/>
        <w:tab w:val="left" w:pos="1701" w:leader="none"/>
        <w:tab w:val="left" w:pos="2448" w:leader="none"/>
      </w:tabs>
      <w:ind w:hanging="1008" w:start="2448" w:end="0"/>
    </w:pPr>
    <w:rPr/>
  </w:style>
  <w:style w:type="paragraph" w:styleId="12">
    <w:name w:val="Пункт1"/>
    <w:basedOn w:val="Normal"/>
    <w:qFormat/>
    <w:pPr>
      <w:numPr>
        <w:ilvl w:val="0"/>
        <w:numId w:val="7"/>
      </w:numPr>
      <w:spacing w:before="240" w:after="0"/>
      <w:jc w:val="center"/>
    </w:pPr>
    <w:rPr>
      <w:rFonts w:ascii="Arial" w:hAnsi="Arial" w:cs="Arial"/>
      <w:b/>
      <w:szCs w:val="28"/>
    </w:rPr>
  </w:style>
  <w:style w:type="paragraph" w:styleId="33">
    <w:name w:val="Основной текст с отступом 3"/>
    <w:basedOn w:val="Normal"/>
    <w:qFormat/>
    <w:pPr>
      <w:spacing w:lineRule="auto" w:line="240"/>
    </w:pPr>
    <w:rPr>
      <w:i/>
      <w:sz w:val="26"/>
      <w:szCs w:val="26"/>
    </w:rPr>
  </w:style>
  <w:style w:type="paragraph" w:styleId="Style34">
    <w:name w:val="Знак Знак Знак Знак Знак Знак"/>
    <w:basedOn w:val="Normal"/>
    <w:next w:val="Heading1"/>
    <w:qFormat/>
    <w:pPr>
      <w:spacing w:lineRule="exact" w:line="240" w:before="0" w:after="160"/>
      <w:ind w:hanging="0" w:start="0" w:end="0"/>
    </w:pPr>
    <w:rPr>
      <w:rFonts w:ascii="Verdana" w:hAnsi="Verdana" w:cs="Verdana"/>
      <w:sz w:val="20"/>
      <w:lang w:val="en-US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CharChar">
    <w:name w:val="Char Char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35">
    <w:name w:val="Абзац списка"/>
    <w:basedOn w:val="Normal"/>
    <w:qFormat/>
    <w:pPr>
      <w:ind w:firstLine="567" w:start="708" w:end="0"/>
    </w:pPr>
    <w:rPr/>
  </w:style>
  <w:style w:type="paragraph" w:styleId="NormalWeb">
    <w:name w:val="Normal (Web)"/>
    <w:basedOn w:val="Normal"/>
    <w:qFormat/>
    <w:pPr>
      <w:spacing w:lineRule="auto" w:line="240" w:before="100" w:after="100"/>
      <w:ind w:hanging="0" w:start="0" w:end="0"/>
      <w:jc w:val="start"/>
    </w:pPr>
    <w:rPr>
      <w:sz w:val="20"/>
    </w:rPr>
  </w:style>
  <w:style w:type="paragraph" w:styleId="Style36">
    <w:name w:val="[Основной абзац]"/>
    <w:basedOn w:val="Normal"/>
    <w:qFormat/>
    <w:pPr>
      <w:widowControl w:val="false"/>
      <w:autoSpaceDE w:val="false"/>
      <w:spacing w:lineRule="auto" w:line="288"/>
      <w:ind w:hanging="0" w:start="0" w:end="0"/>
      <w:jc w:val="start"/>
      <w:textAlignment w:val="center"/>
    </w:pPr>
    <w:rPr>
      <w:rFonts w:ascii="MinionPro-Regular;Times New Roman" w:hAnsi="MinionPro-Regular;Times New Roman" w:eastAsia="Cambria" w:cs="MinionPro-Regular;Times New Roman"/>
      <w:color w:val="000000"/>
      <w:sz w:val="24"/>
      <w:szCs w:val="24"/>
    </w:rPr>
  </w:style>
  <w:style w:type="paragraph" w:styleId="Style37">
    <w:name w:val="Обычный (веб)"/>
    <w:basedOn w:val="Normal"/>
    <w:qFormat/>
    <w:pPr>
      <w:spacing w:lineRule="auto" w:line="240" w:before="100" w:after="100"/>
      <w:ind w:hanging="0" w:start="0" w:end="0"/>
      <w:jc w:val="start"/>
    </w:pPr>
    <w:rPr>
      <w:sz w:val="24"/>
      <w:szCs w:val="24"/>
    </w:rPr>
  </w:style>
  <w:style w:type="paragraph" w:styleId="34">
    <w:name w:val="Основной текст 3"/>
    <w:basedOn w:val="Normal"/>
    <w:qFormat/>
    <w:pPr>
      <w:spacing w:before="0" w:after="120"/>
    </w:pPr>
    <w:rPr>
      <w:sz w:val="16"/>
      <w:szCs w:val="16"/>
    </w:rPr>
  </w:style>
  <w:style w:type="paragraph" w:styleId="Style38">
    <w:name w:val="Без интервала"/>
    <w:qFormat/>
    <w:pPr>
      <w:widowControl/>
      <w:bidi w:val="0"/>
      <w:ind w:firstLine="567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://www.zakupki.gov.ru/" TargetMode="External"/><Relationship Id="rId4" Type="http://schemas.openxmlformats.org/officeDocument/2006/relationships/hyperlink" Target="http://www.tender.lot-online.ru/" TargetMode="External"/><Relationship Id="rId5" Type="http://schemas.openxmlformats.org/officeDocument/2006/relationships/hyperlink" Target="http://www.tender.lot-online.ru/" TargetMode="Externa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2025-05-15T12:20:00Z</dcterms:created>
  <dc:creator>С.Б.Дашков</dc:creator>
  <dc:description/>
  <cp:keywords/>
  <dc:language>en-US</dc:language>
  <cp:lastModifiedBy>Кобелева Елена Юрьевна</cp:lastModifiedBy>
  <cp:lastPrinted>2023-09-18T14:22:00Z</cp:lastPrinted>
  <dcterms:modified xsi:type="dcterms:W3CDTF">2025-12-09T12:52:00Z</dcterms:modified>
  <cp:revision>19</cp:revision>
  <dc:subject/>
  <dc:title>Типовая закупочная документация</dc:title>
</cp:coreProperties>
</file>