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Протокол №РМР/5653</w:t>
      </w:r>
    </w:p>
    <w:p>
      <w:pPr>
        <w:pStyle w:val="Normal"/>
        <w:widowControl w:val="false"/>
        <w:suppressAutoHyphens w:val="true"/>
        <w:spacing w:lineRule="auto" w:line="240"/>
        <w:ind w:hanging="0" w:start="-142" w:end="-306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очно-заочного заседания Постоянно действующей конкурсной комиссии (далее - Комиссия) по ранжированию заявок Участников и подведению итогов закупки</w:t>
      </w:r>
    </w:p>
    <w:p>
      <w:pPr>
        <w:pStyle w:val="Normal"/>
        <w:widowControl w:val="false"/>
        <w:suppressAutoHyphens w:val="true"/>
        <w:spacing w:lineRule="auto" w:line="240" w:before="0" w:after="120"/>
        <w:ind w:hanging="0" w:start="-142" w:end="-306"/>
        <w:jc w:val="center"/>
        <w:rPr>
          <w:b/>
          <w:sz w:val="23"/>
          <w:szCs w:val="23"/>
        </w:rPr>
      </w:pPr>
      <w:r>
        <w:rPr>
          <w:b/>
          <w:bCs/>
          <w:kern w:val="2"/>
          <w:sz w:val="23"/>
          <w:szCs w:val="23"/>
        </w:rPr>
        <w:t>(ЕИС</w:t>
      </w:r>
      <w:r>
        <w:rPr>
          <w:b/>
          <w:sz w:val="23"/>
          <w:szCs w:val="23"/>
        </w:rPr>
        <w:t xml:space="preserve"> № </w:t>
      </w:r>
      <w:r>
        <w:rPr>
          <w:b/>
          <w:kern w:val="2"/>
          <w:sz w:val="23"/>
          <w:szCs w:val="23"/>
        </w:rPr>
        <w:t>32515462416</w:t>
      </w:r>
      <w:r>
        <w:rPr>
          <w:b/>
          <w:sz w:val="23"/>
          <w:szCs w:val="23"/>
        </w:rPr>
        <w:t>)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 w:end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hanging="0" w:end="0"/>
              <w:jc w:val="center"/>
              <w:rPr/>
            </w:pPr>
            <w:r>
              <w:rPr>
                <w:szCs w:val="24"/>
              </w:rPr>
              <w:t>г. Москва, 2-й Павелецкий проезд, д.3, стр.2, Департамент организации конкурсных процедур ПАО «</w:t>
            </w:r>
            <w:r>
              <w:rPr>
                <w:bCs/>
                <w:szCs w:val="24"/>
              </w:rPr>
              <w:t>Россети Московский регион</w:t>
            </w:r>
            <w:r>
              <w:rPr>
                <w:szCs w:val="24"/>
              </w:rPr>
              <w:t>»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</w:rPr>
              <w:t>11.12.20</w:t>
            </w:r>
            <w:r>
              <w:rPr>
                <w:b/>
                <w:bCs/>
                <w:szCs w:val="24"/>
                <w:lang w:val="en-US"/>
              </w:rPr>
              <w:t>2</w:t>
            </w:r>
            <w:r>
              <w:rPr>
                <w:b/>
                <w:bCs/>
                <w:szCs w:val="24"/>
              </w:rPr>
              <w:t>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/>
            </w:pPr>
            <w:r>
              <w:rPr>
                <w:b/>
                <w:bCs/>
                <w:szCs w:val="24"/>
              </w:rPr>
              <w:t>12.12.20</w:t>
            </w:r>
            <w:r>
              <w:rPr>
                <w:b/>
                <w:bCs/>
                <w:szCs w:val="24"/>
                <w:lang w:val="en-US"/>
              </w:rPr>
              <w:t>2</w:t>
            </w:r>
            <w:r>
              <w:rPr>
                <w:b/>
                <w:bCs/>
                <w:szCs w:val="24"/>
              </w:rPr>
              <w:t>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lineRule="auto" w:line="276" w:before="0" w:after="0"/>
        <w:ind w:hanging="0" w:start="0" w:end="54"/>
        <w:rPr>
          <w:rFonts w:ascii="Times New Roman" w:hAnsi="Times New Roman" w:cs="Times New Roman"/>
          <w:b w:val="false"/>
          <w:bCs w:val="false"/>
          <w:kern w:val="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kern w:val="0"/>
          <w:sz w:val="24"/>
          <w:szCs w:val="24"/>
        </w:rPr>
        <w:t xml:space="preserve">Настоящий запрос цен по результатам предварительного отбора в электронной форме (далее – закупка) проводится с использованием функционала электронной торговой площадки АО «Российский </w:t>
      </w:r>
      <w:r>
        <w:rPr>
          <w:rFonts w:cs="Times New Roman" w:ascii="Times New Roman" w:hAnsi="Times New Roman"/>
          <w:b w:val="false"/>
          <w:sz w:val="24"/>
          <w:szCs w:val="24"/>
        </w:rPr>
        <w:t>аукционный дом</w:t>
      </w:r>
      <w:r>
        <w:rPr>
          <w:rFonts w:cs="Times New Roman" w:ascii="Times New Roman" w:hAnsi="Times New Roman"/>
          <w:b w:val="false"/>
          <w:bCs w:val="false"/>
          <w:kern w:val="0"/>
          <w:sz w:val="24"/>
          <w:szCs w:val="24"/>
        </w:rPr>
        <w:t>» (</w:t>
      </w:r>
      <w:hyperlink r:id="rId2"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www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tender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lot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online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.ru</w:t>
        </w:r>
      </w:hyperlink>
      <w:r>
        <w:rPr>
          <w:rFonts w:cs="Times New Roman" w:ascii="Times New Roman" w:hAnsi="Times New Roman"/>
          <w:b w:val="false"/>
          <w:bCs w:val="false"/>
          <w:kern w:val="0"/>
          <w:sz w:val="24"/>
          <w:szCs w:val="24"/>
        </w:rPr>
        <w:t xml:space="preserve">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lineRule="auto" w:line="276" w:before="0" w:after="0"/>
        <w:ind w:hanging="0" w:start="0" w:end="54"/>
        <w:rPr>
          <w:rFonts w:ascii="Times New Roman" w:hAnsi="Times New Roman" w:cs="Times New Roman"/>
          <w:b w:val="false"/>
          <w:bCs w:val="false"/>
          <w:kern w:val="0"/>
          <w:sz w:val="23"/>
          <w:szCs w:val="23"/>
          <w:lang w:val="en-US"/>
        </w:rPr>
      </w:pPr>
      <w:r>
        <w:rPr>
          <w:rFonts w:cs="Times New Roman" w:ascii="Times New Roman" w:hAnsi="Times New Roman"/>
          <w:b w:val="false"/>
          <w:bCs w:val="false"/>
          <w:kern w:val="0"/>
          <w:sz w:val="23"/>
          <w:szCs w:val="23"/>
          <w:lang w:val="en-US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lineRule="auto" w:line="276" w:before="0" w:after="0"/>
        <w:ind w:hanging="0" w:start="0" w:end="54"/>
        <w:rPr>
          <w:rFonts w:ascii="Times New Roman" w:hAnsi="Times New Roman" w:cs="Times New Roman"/>
          <w:b w:val="false"/>
          <w:bCs w:val="false"/>
          <w:kern w:val="0"/>
          <w:sz w:val="10"/>
          <w:szCs w:val="10"/>
          <w:lang w:val="en-US"/>
        </w:rPr>
      </w:pPr>
      <w:r>
        <w:rPr>
          <w:rFonts w:cs="Times New Roman" w:ascii="Times New Roman" w:hAnsi="Times New Roman"/>
          <w:b w:val="false"/>
          <w:bCs w:val="false"/>
          <w:kern w:val="0"/>
          <w:sz w:val="10"/>
          <w:szCs w:val="10"/>
          <w:lang w:val="en-US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lineRule="auto" w:line="276" w:before="0" w:after="0"/>
        <w:ind w:hanging="567" w:start="567" w:end="0"/>
        <w:rPr>
          <w:rFonts w:ascii="Times New Roman" w:hAnsi="Times New Roman" w:cs="Times New Roman"/>
          <w:sz w:val="23"/>
          <w:szCs w:val="23"/>
          <w:lang w:val="en-US"/>
        </w:rPr>
      </w:pPr>
      <w:r>
        <w:rPr>
          <w:rFonts w:cs="Times New Roman" w:ascii="Times New Roman" w:hAnsi="Times New Roman"/>
          <w:sz w:val="23"/>
          <w:szCs w:val="23"/>
        </w:rPr>
        <w:t>ОБЩАЯ ИНФОРМАЦИЯ О ЗАКУПКЕ:</w:t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0" w:hanging="0" w:end="0"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Предмет закупки</w:t>
      </w:r>
      <w:r>
        <w:rPr>
          <w:sz w:val="24"/>
          <w:szCs w:val="24"/>
        </w:rPr>
        <w:t xml:space="preserve">: </w:t>
      </w:r>
      <w:r>
        <w:rPr>
          <w:iCs/>
          <w:sz w:val="24"/>
          <w:szCs w:val="24"/>
        </w:rPr>
        <w:t xml:space="preserve">определение подрядчика </w:t>
      </w:r>
      <w:r>
        <w:rPr>
          <w:bCs/>
          <w:sz w:val="24"/>
          <w:szCs w:val="24"/>
        </w:rPr>
        <w:t xml:space="preserve">на выполнение </w:t>
      </w:r>
      <w:r>
        <w:rPr>
          <w:sz w:val="24"/>
          <w:szCs w:val="24"/>
        </w:rPr>
        <w:t xml:space="preserve">ПИР, СМР, ПНР, материалы по титулу: Реконструкция 7КЛ-10кВ направлением ТП-10/0,4кВ № 10237 А - ТП-10/0,4кВ  № 14561 А, ТП-10/0,4кВ № 10237 Б - ТП-10/0,4кВ № 19972 Б, ТП-10/0,4кВ № 10729 А - ТП-10/0,4кВ № 22333 А, ТП-10/0,4кВ № 10729 Б - ТП-10/0,4кВ № 22333 Б, ТП-10/0,4кВ № 10237 А - ТП-10/0,4кВ № 22333 А, ТП-10/0,4кВ № 10237 Б - 22333 Б, ТП-10/0,4кВ № 30211 Б - ТП-10/0,4кВ № 27646 Б, 5КЛ-6кВ направлением РП-6кВ № 2910 с.2 - ТП-6/0,4кВ № 3839 А, РП-6кВ № 2910 с.2 - ТП-6/0,4кВ № 3839, РП-6кВ № 2910 с.1, с.2 - ПС 110/35/10/6кВ № 12 Карачарово, РП-6кВ № 2910 - РТП-6/0,4кВ № 3840, 4КЛ-0,4кВ направлением ТП-10/0,4кВ № 10237 А,Б - вв. 96894, вв. 90433 (переустройство линии с изменением трассы прокладки) для освобождения земельного участка заявителя, в т.ч. ПИР: г.Москва, Рязанский пр-кт, д.2, корп.2, стр.2 для нужд МКС </w:t>
      </w:r>
      <w:r>
        <w:rPr>
          <w:bCs/>
          <w:sz w:val="24"/>
          <w:szCs w:val="24"/>
        </w:rPr>
        <w:t>– филиала ПАО</w:t>
      </w:r>
      <w:r>
        <w:rPr>
          <w:bCs/>
          <w:sz w:val="24"/>
          <w:szCs w:val="24"/>
          <w:lang w:val="en-US"/>
        </w:rPr>
        <w:t> </w:t>
      </w:r>
      <w:r>
        <w:rPr>
          <w:bCs/>
          <w:sz w:val="24"/>
          <w:szCs w:val="24"/>
        </w:rPr>
        <w:t>«Россети Московский регион».</w:t>
      </w:r>
    </w:p>
    <w:p>
      <w:pPr>
        <w:pStyle w:val="Normal"/>
        <w:widowControl w:val="false"/>
        <w:numPr>
          <w:ilvl w:val="0"/>
          <w:numId w:val="0"/>
        </w:numPr>
        <w:spacing w:lineRule="auto" w:line="276"/>
        <w:ind w:start="0" w:hanging="0" w:end="0"/>
        <w:outlineLvl w:val="1"/>
        <w:rPr>
          <w:rFonts w:eastAsia="Calibri"/>
          <w:sz w:val="24"/>
          <w:szCs w:val="24"/>
        </w:rPr>
      </w:pPr>
      <w:r>
        <w:rPr>
          <w:sz w:val="24"/>
          <w:szCs w:val="24"/>
          <w:u w:val="single"/>
        </w:rPr>
        <w:t>Основание для проведения закупки</w:t>
      </w:r>
      <w:r>
        <w:rPr>
          <w:sz w:val="24"/>
          <w:szCs w:val="24"/>
        </w:rPr>
        <w:t>: Распоряжение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 от 04.03.2025 №269р.</w:t>
      </w:r>
    </w:p>
    <w:p>
      <w:pPr>
        <w:pStyle w:val="Normal"/>
        <w:widowControl w:val="false"/>
        <w:numPr>
          <w:ilvl w:val="0"/>
          <w:numId w:val="0"/>
        </w:numPr>
        <w:spacing w:lineRule="auto" w:line="276" w:before="0" w:after="180"/>
        <w:ind w:start="0" w:hanging="0" w:end="0"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Ограничение участия только субъектов малого и среднего предпринимательства</w:t>
      </w:r>
      <w:r>
        <w:rPr>
          <w:sz w:val="24"/>
          <w:szCs w:val="24"/>
        </w:rPr>
        <w:t>: не установлено.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5245"/>
      </w:tblGrid>
      <w:tr>
        <w:trPr>
          <w:trHeight w:val="62" w:hRule="atLeast"/>
        </w:trPr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W-12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Начальная цена закупки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W-12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szCs w:val="24"/>
              </w:rPr>
            </w:pPr>
            <w:r>
              <w:rPr>
                <w:b/>
                <w:bCs/>
                <w:szCs w:val="24"/>
              </w:rPr>
              <w:t>Сроки выполнения работ</w:t>
            </w:r>
          </w:p>
        </w:tc>
      </w:tr>
      <w:tr>
        <w:trPr>
          <w:trHeight w:val="882" w:hRule="atLeast"/>
        </w:trPr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W-12"/>
              <w:keepNext w:val="true"/>
              <w:widowControl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 w:end="0"/>
              <w:contextualSpacing/>
              <w:jc w:val="center"/>
              <w:rPr/>
            </w:pPr>
            <w:r>
              <w:rPr>
                <w:szCs w:val="24"/>
              </w:rPr>
              <w:t>140 799 966,92 руб., в т.ч. НДС 20%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/>
            </w:pPr>
            <w:r>
              <w:rPr>
                <w:szCs w:val="28"/>
              </w:rPr>
              <w:t>С даты подписания</w:t>
            </w:r>
            <w:r>
              <w:rPr/>
              <w:t xml:space="preserve"> договора</w:t>
            </w:r>
          </w:p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/>
            </w:pPr>
            <w:r>
              <w:rPr/>
              <w:t>по 15 октября 2026г.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lineRule="auto" w:line="276" w:before="0" w:after="0"/>
        <w:ind w:hanging="0" w:start="0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lineRule="auto" w:line="276" w:before="0" w:after="0"/>
        <w:ind w:hanging="0" w:start="0"/>
        <w:rPr/>
      </w:pPr>
      <w:r>
        <w:rPr>
          <w:rFonts w:cs="Times New Roman" w:ascii="Times New Roman" w:hAnsi="Times New Roman"/>
          <w:sz w:val="24"/>
          <w:szCs w:val="24"/>
        </w:rPr>
        <w:t>В очном заседании Комиссии принимали участие:</w:t>
      </w:r>
    </w:p>
    <w:p>
      <w:pPr>
        <w:pStyle w:val="Normal"/>
        <w:keepNext w:val="true"/>
        <w:spacing w:lineRule="auto" w:line="276"/>
        <w:ind w:hanging="0" w:end="0"/>
        <w:rPr/>
      </w:pPr>
      <w:r>
        <w:rPr>
          <w:b/>
          <w:bCs/>
          <w:sz w:val="24"/>
          <w:szCs w:val="24"/>
        </w:rPr>
        <w:t>Заместитель председателя Комиссии:</w:t>
      </w:r>
    </w:p>
    <w:p>
      <w:pPr>
        <w:pStyle w:val="Normal"/>
        <w:spacing w:lineRule="auto" w:line="276"/>
        <w:ind w:hanging="0" w:end="152"/>
        <w:rPr>
          <w:sz w:val="24"/>
          <w:szCs w:val="24"/>
        </w:rPr>
      </w:pPr>
      <w:r>
        <w:rPr>
          <w:sz w:val="24"/>
          <w:szCs w:val="24"/>
        </w:rPr>
        <w:t>Старостина Я.О. – Директор департамента организации конкурсных процедур ПАО «Россети Московский регион»;</w:t>
      </w:r>
    </w:p>
    <w:p>
      <w:pPr>
        <w:pStyle w:val="Normal"/>
        <w:spacing w:lineRule="auto" w:line="276"/>
        <w:ind w:hanging="0" w:end="152"/>
        <w:rPr>
          <w:sz w:val="24"/>
          <w:szCs w:val="24"/>
        </w:rPr>
      </w:pPr>
      <w:r>
        <w:rPr>
          <w:b/>
          <w:bCs/>
          <w:sz w:val="24"/>
          <w:szCs w:val="24"/>
        </w:rPr>
        <w:t>Члены Комиссии:</w:t>
      </w:r>
    </w:p>
    <w:p>
      <w:pPr>
        <w:pStyle w:val="Normal"/>
        <w:widowControl w:val="false"/>
        <w:spacing w:lineRule="auto" w:line="276" w:before="0" w:after="0"/>
        <w:ind w:hanging="0" w:end="0"/>
        <w:contextualSpacing/>
        <w:rPr/>
      </w:pPr>
      <w:r>
        <w:rPr>
          <w:bCs/>
          <w:iCs/>
          <w:sz w:val="24"/>
          <w:szCs w:val="24"/>
        </w:rPr>
        <w:t>Богомолов Э.В. – Д</w:t>
      </w:r>
      <w:r>
        <w:rPr>
          <w:sz w:val="24"/>
          <w:szCs w:val="24"/>
        </w:rPr>
        <w:t>иректор департамента производственной безопасности ПАО «Россети Московский регион»</w:t>
      </w:r>
      <w:r>
        <w:rPr>
          <w:bCs/>
          <w:iCs/>
          <w:sz w:val="24"/>
          <w:szCs w:val="24"/>
        </w:rPr>
        <w:t>;</w:t>
      </w:r>
    </w:p>
    <w:p>
      <w:pPr>
        <w:pStyle w:val="Normal"/>
        <w:widowControl w:val="false"/>
        <w:spacing w:lineRule="auto" w:line="276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sz w:val="24"/>
          <w:szCs w:val="24"/>
        </w:rPr>
        <w:t>Попко О.О. – Заместитель директора департамента корпоративных финансов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»;</w:t>
      </w:r>
    </w:p>
    <w:p>
      <w:pPr>
        <w:pStyle w:val="Normal"/>
        <w:widowControl w:val="false"/>
        <w:spacing w:lineRule="auto" w:line="276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sz w:val="24"/>
          <w:szCs w:val="24"/>
        </w:rPr>
        <w:t>Голубев Д.В. – Начальник управления мониторинга рынка ТМЦ и расчетов с поставщиками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»;</w:t>
      </w:r>
    </w:p>
    <w:p>
      <w:pPr>
        <w:pStyle w:val="Normal"/>
        <w:widowControl w:val="false"/>
        <w:spacing w:lineRule="auto" w:line="276" w:before="0" w:after="0"/>
        <w:ind w:hanging="0" w:end="0"/>
        <w:contextualSpacing/>
        <w:rPr/>
      </w:pPr>
      <w:r>
        <w:rPr>
          <w:sz w:val="24"/>
          <w:szCs w:val="24"/>
        </w:rPr>
        <w:t xml:space="preserve">Мауль А.В. – Начальник управления </w:t>
      </w:r>
      <w:r>
        <w:rPr>
          <w:bCs/>
          <w:color w:val="000000"/>
          <w:sz w:val="24"/>
          <w:szCs w:val="24"/>
        </w:rPr>
        <w:t xml:space="preserve">нормативного регулирования и сопровождения договорной работы </w:t>
      </w:r>
      <w:r>
        <w:rPr>
          <w:sz w:val="24"/>
          <w:szCs w:val="24"/>
        </w:rPr>
        <w:t>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»;</w:t>
      </w:r>
    </w:p>
    <w:p>
      <w:pPr>
        <w:pStyle w:val="Normal"/>
        <w:widowControl w:val="false"/>
        <w:spacing w:lineRule="auto" w:line="276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Муравьев Д.П. – Начальник управления</w:t>
      </w:r>
      <w:r>
        <w:rPr>
          <w:sz w:val="24"/>
          <w:szCs w:val="24"/>
        </w:rPr>
        <w:t xml:space="preserve"> комплектации оборудованием ПАО «Россети Московский регион»;</w:t>
      </w:r>
    </w:p>
    <w:p>
      <w:pPr>
        <w:pStyle w:val="Normal"/>
        <w:widowControl w:val="false"/>
        <w:spacing w:lineRule="auto" w:line="276" w:before="0" w:after="0"/>
        <w:ind w:hanging="0" w:end="0"/>
        <w:contextualSpacing/>
        <w:rPr/>
      </w:pPr>
      <w:r>
        <w:rPr>
          <w:color w:val="000000"/>
          <w:sz w:val="24"/>
          <w:szCs w:val="24"/>
        </w:rPr>
        <w:t xml:space="preserve">Светличный Д.А. – Начальник управления </w:t>
      </w:r>
      <w:r>
        <w:rPr>
          <w:bCs/>
          <w:iCs/>
          <w:sz w:val="24"/>
          <w:szCs w:val="24"/>
        </w:rPr>
        <w:t>строительного</w:t>
      </w:r>
      <w:r>
        <w:rPr>
          <w:color w:val="000000"/>
          <w:sz w:val="24"/>
          <w:szCs w:val="24"/>
        </w:rPr>
        <w:t xml:space="preserve"> надзора ПАО «</w:t>
      </w:r>
      <w:r>
        <w:rPr>
          <w:bCs/>
          <w:sz w:val="24"/>
          <w:szCs w:val="24"/>
        </w:rPr>
        <w:t>Россети Московский регион</w:t>
      </w:r>
      <w:r>
        <w:rPr>
          <w:color w:val="000000"/>
          <w:sz w:val="24"/>
          <w:szCs w:val="24"/>
        </w:rPr>
        <w:t>»;</w:t>
      </w:r>
    </w:p>
    <w:p>
      <w:pPr>
        <w:pStyle w:val="Normal"/>
        <w:widowControl w:val="false"/>
        <w:spacing w:lineRule="auto" w:line="276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color w:val="000000"/>
          <w:sz w:val="24"/>
          <w:szCs w:val="24"/>
        </w:rPr>
        <w:t xml:space="preserve">Зубков П.С. – </w:t>
      </w:r>
      <w:r>
        <w:rPr>
          <w:sz w:val="24"/>
          <w:szCs w:val="24"/>
        </w:rPr>
        <w:t>Главный эксперт контрольно-экспертного управления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</w:t>
      </w:r>
      <w:r>
        <w:rPr>
          <w:color w:val="000000"/>
          <w:sz w:val="24"/>
          <w:szCs w:val="24"/>
        </w:rPr>
        <w:t>;</w:t>
      </w:r>
    </w:p>
    <w:p>
      <w:pPr>
        <w:pStyle w:val="Normal"/>
        <w:widowControl w:val="false"/>
        <w:spacing w:lineRule="auto" w:line="276" w:before="0" w:after="0"/>
        <w:ind w:hanging="0" w:end="0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Кремнёв А.С. – Главный эксперт управления общей правовой работы ПАО «</w:t>
      </w:r>
      <w:r>
        <w:rPr>
          <w:bCs/>
          <w:sz w:val="24"/>
          <w:szCs w:val="24"/>
        </w:rPr>
        <w:t>Россети Московский регион</w:t>
      </w:r>
      <w:r>
        <w:rPr>
          <w:color w:val="000000"/>
          <w:sz w:val="24"/>
          <w:szCs w:val="24"/>
        </w:rPr>
        <w:t>»;</w:t>
      </w:r>
    </w:p>
    <w:p>
      <w:pPr>
        <w:pStyle w:val="Normal"/>
        <w:spacing w:lineRule="auto" w:line="276"/>
        <w:ind w:hanging="0" w:end="15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Секретарь Комиссии (с правом голоса): </w:t>
      </w:r>
    </w:p>
    <w:p>
      <w:pPr>
        <w:pStyle w:val="Normal"/>
        <w:widowControl w:val="false"/>
        <w:spacing w:lineRule="auto" w:line="276"/>
        <w:ind w:hanging="0" w:end="0"/>
        <w:rPr>
          <w:sz w:val="24"/>
          <w:szCs w:val="24"/>
        </w:rPr>
      </w:pPr>
      <w:r>
        <w:rPr>
          <w:sz w:val="24"/>
          <w:szCs w:val="24"/>
        </w:rPr>
        <w:t>Гусев К.В. – Начальник управления организации конкурсных закупок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».</w:t>
      </w:r>
    </w:p>
    <w:p>
      <w:pPr>
        <w:pStyle w:val="Normal"/>
        <w:widowControl w:val="false"/>
        <w:spacing w:lineRule="auto" w:line="276"/>
        <w:ind w:hanging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auto" w:line="276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СЛУШАЛИ:</w:t>
      </w:r>
    </w:p>
    <w:p>
      <w:pPr>
        <w:pStyle w:val="Normal"/>
        <w:widowControl w:val="false"/>
        <w:spacing w:lineRule="auto" w:line="276"/>
        <w:ind w:hanging="0" w:end="0"/>
        <w:rPr>
          <w:sz w:val="24"/>
          <w:szCs w:val="24"/>
        </w:rPr>
      </w:pPr>
      <w:r>
        <w:rPr>
          <w:sz w:val="24"/>
          <w:szCs w:val="24"/>
        </w:rPr>
        <w:t>Гусева К.В. – Начальника управления организации конкурсных закупок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».</w:t>
      </w:r>
    </w:p>
    <w:p>
      <w:pPr>
        <w:pStyle w:val="Normal"/>
        <w:widowControl w:val="false"/>
        <w:spacing w:lineRule="auto" w:line="276"/>
        <w:ind w:hanging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lineRule="auto" w:line="276" w:before="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Заочное голосование по опросным листам:</w:t>
      </w:r>
    </w:p>
    <w:p>
      <w:pPr>
        <w:pStyle w:val="Normal"/>
        <w:spacing w:lineRule="auto" w:line="276"/>
        <w:ind w:hanging="0" w:end="152"/>
        <w:rPr>
          <w:sz w:val="24"/>
          <w:szCs w:val="24"/>
        </w:rPr>
      </w:pPr>
      <w:r>
        <w:rPr>
          <w:b/>
          <w:bCs/>
          <w:sz w:val="24"/>
          <w:szCs w:val="24"/>
        </w:rPr>
        <w:t>Член Комиссии:</w:t>
      </w:r>
    </w:p>
    <w:p>
      <w:pPr>
        <w:pStyle w:val="Normal"/>
        <w:widowControl w:val="false"/>
        <w:spacing w:lineRule="auto" w:line="276" w:before="0" w:after="0"/>
        <w:ind w:hanging="0" w:end="0"/>
        <w:contextualSpacing/>
        <w:rPr/>
      </w:pPr>
      <w:r>
        <w:rPr>
          <w:sz w:val="24"/>
          <w:szCs w:val="24"/>
        </w:rPr>
        <w:t>Омельяненко А.А. – Начальник управления материально-технического снабжения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».</w:t>
      </w:r>
    </w:p>
    <w:p>
      <w:pPr>
        <w:pStyle w:val="Normal"/>
        <w:widowControl w:val="false"/>
        <w:spacing w:lineRule="auto" w:line="276"/>
        <w:ind w:hanging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lineRule="auto" w:line="276" w:before="0" w:after="0"/>
        <w:ind w:hanging="0" w:start="0"/>
        <w:rPr>
          <w:rFonts w:ascii="Times New Roman" w:hAnsi="Times New Roman" w:cs="Times New Roman"/>
          <w:bCs w:val="false"/>
          <w:color w:val="000000"/>
          <w:kern w:val="0"/>
          <w:sz w:val="24"/>
          <w:szCs w:val="24"/>
        </w:rPr>
      </w:pPr>
      <w:r>
        <w:rPr>
          <w:rFonts w:cs="Times New Roman" w:ascii="Times New Roman" w:hAnsi="Times New Roman"/>
          <w:bCs w:val="false"/>
          <w:color w:val="000000"/>
          <w:kern w:val="0"/>
          <w:sz w:val="24"/>
          <w:szCs w:val="24"/>
        </w:rPr>
        <w:t>В заседании приняли участие 11 из 19 членов Комиссии.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lineRule="auto" w:line="276" w:before="0" w:after="0"/>
        <w:ind w:hanging="0" w:start="0"/>
        <w:rPr>
          <w:rFonts w:ascii="Times New Roman" w:hAnsi="Times New Roman" w:cs="Times New Roman"/>
          <w:bCs w:val="false"/>
          <w:color w:val="000000"/>
          <w:kern w:val="0"/>
          <w:sz w:val="24"/>
          <w:szCs w:val="24"/>
        </w:rPr>
      </w:pPr>
      <w:r>
        <w:rPr>
          <w:rFonts w:cs="Times New Roman" w:ascii="Times New Roman" w:hAnsi="Times New Roman"/>
          <w:bCs w:val="false"/>
          <w:color w:val="000000"/>
          <w:kern w:val="0"/>
          <w:sz w:val="24"/>
          <w:szCs w:val="24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lineRule="auto" w:line="276" w:before="0" w:after="0"/>
        <w:ind w:hanging="0" w:start="0"/>
        <w:rPr>
          <w:rFonts w:ascii="Times New Roman" w:hAnsi="Times New Roman" w:cs="Times New Roman"/>
          <w:bCs w:val="false"/>
          <w:color w:val="000000"/>
          <w:kern w:val="0"/>
          <w:sz w:val="24"/>
          <w:szCs w:val="24"/>
          <w:lang w:val="en-US"/>
        </w:rPr>
      </w:pPr>
      <w:r>
        <w:rPr>
          <w:rFonts w:cs="Times New Roman" w:ascii="Times New Roman" w:hAnsi="Times New Roman"/>
          <w:bCs w:val="false"/>
          <w:color w:val="000000"/>
          <w:kern w:val="0"/>
          <w:sz w:val="24"/>
          <w:szCs w:val="24"/>
          <w:lang w:val="en-US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lineRule="auto" w:line="276"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bookmarkStart w:id="0" w:name="Комиссия"/>
      <w:bookmarkEnd w:id="0"/>
      <w:r>
        <w:rPr>
          <w:rFonts w:cs="Times New Roman" w:ascii="Times New Roman" w:hAnsi="Times New Roman"/>
          <w:sz w:val="23"/>
          <w:szCs w:val="23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lineRule="auto" w:line="276" w:before="120" w:after="180"/>
        <w:ind w:hanging="0" w:start="0"/>
        <w:rPr>
          <w:rFonts w:ascii="Times New Roman" w:hAnsi="Times New Roman" w:cs="Times New Roman"/>
          <w:b w:val="false"/>
          <w:sz w:val="24"/>
          <w:szCs w:val="24"/>
        </w:rPr>
      </w:pPr>
      <w:r>
        <w:rPr>
          <w:rFonts w:cs="Times New Roman" w:ascii="Times New Roman" w:hAnsi="Times New Roman"/>
          <w:b w:val="false"/>
          <w:sz w:val="24"/>
          <w:szCs w:val="24"/>
        </w:rPr>
        <w:t>К установленному сроку подачи заявок поступили следующие заявки:</w:t>
      </w:r>
    </w:p>
    <w:tbl>
      <w:tblPr>
        <w:tblW w:w="1008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3"/>
        <w:gridCol w:w="5103"/>
        <w:gridCol w:w="3989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lineRule="auto" w:line="240" w:before="0" w:after="0"/>
              <w:ind w:hanging="0" w:start="0" w:end="0"/>
              <w:contextualSpacing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b/>
                <w:sz w:val="24"/>
                <w:szCs w:val="24"/>
              </w:rPr>
              <w:t>Наименование Участника и его адрес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lineRule="auto" w:line="240" w:before="0" w:after="0"/>
              <w:ind w:hanging="0" w:start="0" w:end="0"/>
              <w:contextualSpacing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подачи (мск. время)</w:t>
            </w:r>
          </w:p>
        </w:tc>
      </w:tr>
      <w:tr>
        <w:trPr>
          <w:trHeight w:val="1104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jc w:val="center"/>
              <w:rPr>
                <w:rFonts w:ascii="Times New Roman" w:hAnsi="Times New Roman" w:cs="Times New Roman"/>
                <w:b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szCs w:val="24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«СМК» (153510, Ивановская обл., г. Кохма, ул. Октябрьская, д.49а, этаж 2, пом. №1)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28.11.2025  14:03:31</w:t>
            </w:r>
          </w:p>
        </w:tc>
      </w:tr>
      <w:tr>
        <w:trPr>
          <w:trHeight w:val="1133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jc w:val="center"/>
              <w:rPr>
                <w:rFonts w:ascii="Times New Roman" w:hAnsi="Times New Roman" w:cs="Times New Roman"/>
                <w:b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szCs w:val="24"/>
              </w:rPr>
              <w:t>2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АО «ПРОФЭНЕРГО» (117420, г. Москва, ул. Намёткина, д.14, корп.2, пом. I, ком. 515)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28.11.2025  14:49:55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Всего поступило 2 заявки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lineRule="auto" w:line="276" w:before="12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lineRule="auto" w:line="276"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2"/>
        </w:numPr>
        <w:tabs>
          <w:tab w:val="clear" w:pos="709"/>
          <w:tab w:val="left" w:pos="284" w:leader="none"/>
        </w:tabs>
        <w:spacing w:lineRule="auto" w:line="276" w:before="0" w:after="0"/>
        <w:ind w:hanging="0" w:start="0" w:end="0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 ранжировании заявок Участников</w:t>
      </w:r>
    </w:p>
    <w:p>
      <w:pPr>
        <w:pStyle w:val="12"/>
        <w:keepNext w:val="false"/>
        <w:keepLines w:val="false"/>
        <w:widowControl w:val="false"/>
        <w:numPr>
          <w:ilvl w:val="0"/>
          <w:numId w:val="2"/>
        </w:numPr>
        <w:tabs>
          <w:tab w:val="clear" w:pos="709"/>
          <w:tab w:val="left" w:pos="284" w:leader="none"/>
        </w:tabs>
        <w:spacing w:lineRule="auto" w:line="276" w:before="0" w:after="0"/>
        <w:ind w:hanging="0" w:start="0" w:end="0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 подведении итогов по закупке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284" w:leader="none"/>
        </w:tabs>
        <w:spacing w:lineRule="auto" w:line="276" w:before="120" w:after="0"/>
        <w:ind w:hanging="0" w:start="0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lineRule="auto" w:line="276"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РЕШИЛИ:</w:t>
      </w:r>
    </w:p>
    <w:p>
      <w:pPr>
        <w:pStyle w:val="Style26"/>
        <w:widowControl w:val="false"/>
        <w:numPr>
          <w:ilvl w:val="0"/>
          <w:numId w:val="3"/>
        </w:numPr>
        <w:tabs>
          <w:tab w:val="clear" w:pos="709"/>
          <w:tab w:val="left" w:pos="567" w:leader="none"/>
        </w:tabs>
        <w:spacing w:lineRule="auto" w:line="276" w:before="0" w:after="0"/>
        <w:ind w:hanging="0" w:start="0" w:end="2"/>
        <w:contextualSpacing w:val="false"/>
        <w:rPr>
          <w:sz w:val="24"/>
          <w:szCs w:val="24"/>
        </w:rPr>
      </w:pPr>
      <w:r>
        <w:rPr>
          <w:sz w:val="24"/>
          <w:szCs w:val="24"/>
        </w:rPr>
        <w:t>По итогам рассмотрения основных ценовых предложений, а также ценовых предложений, полученных в результате проведения процедуры переторжки, направленных оператором ЭТП, ранжировать заявки Участников, допущенные ранее к рассмотрению, следующим образом:</w:t>
      </w:r>
    </w:p>
    <w:tbl>
      <w:tblPr>
        <w:tblW w:w="49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2"/>
        <w:gridCol w:w="2890"/>
        <w:gridCol w:w="1791"/>
        <w:gridCol w:w="1791"/>
        <w:gridCol w:w="2203"/>
      </w:tblGrid>
      <w:tr>
        <w:trPr>
          <w:tblHeader w:val="true"/>
          <w:trHeight w:val="847" w:hRule="atLeast"/>
        </w:trPr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Место в ранжире</w:t>
            </w:r>
          </w:p>
        </w:tc>
        <w:tc>
          <w:tcPr>
            <w:tcW w:w="2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Наименование Участника 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 его адрес</w:t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/>
            </w:pPr>
            <w:r>
              <w:rPr>
                <w:b/>
                <w:sz w:val="22"/>
                <w:szCs w:val="22"/>
              </w:rPr>
              <w:t>Стоимость заявки,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руб. с НДС 20%</w:t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/>
            </w:pPr>
            <w:r>
              <w:rPr>
                <w:b/>
                <w:sz w:val="22"/>
                <w:szCs w:val="22"/>
              </w:rPr>
              <w:t>Стоимость заявки после переторжки,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руб. с НДС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Сроки 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выполнения работ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rHeight w:val="1373" w:hRule="atLeast"/>
        </w:trPr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«СМК» (153510, Ивановская обл., г. Кохма, ул. Октябрьская, д.49а, этаж 2, пом. №1)</w:t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vanish/>
                <w:sz w:val="22"/>
                <w:szCs w:val="22"/>
              </w:rPr>
            </w:pPr>
            <w:r>
              <w:rPr>
                <w:sz w:val="22"/>
                <w:szCs w:val="22"/>
              </w:rPr>
              <w:t>140 659 166,95</w:t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участвовали в переторжке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В соответствии с требованиями ТЗ на проведение закупки</w:t>
            </w:r>
          </w:p>
        </w:tc>
      </w:tr>
      <w:tr>
        <w:trPr>
          <w:trHeight w:val="1407" w:hRule="atLeast"/>
        </w:trPr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АО «ПРОФЭНЕРГО» (117420, г. Москва, ул. Намёткина, д.14, корп.2, пом. I, ком. 515)</w:t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vanish/>
                <w:sz w:val="22"/>
                <w:szCs w:val="22"/>
              </w:rPr>
            </w:pPr>
            <w:r>
              <w:rPr>
                <w:sz w:val="22"/>
                <w:szCs w:val="22"/>
              </w:rPr>
              <w:t>140 785 886,92</w:t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участвовали в переторжке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соответствии с требованиями ТЗ на проведение закупки</w:t>
            </w:r>
          </w:p>
        </w:tc>
      </w:tr>
    </w:tbl>
    <w:p>
      <w:pPr>
        <w:pStyle w:val="Style27"/>
        <w:widowControl w:val="false"/>
        <w:tabs>
          <w:tab w:val="clear" w:pos="1701"/>
          <w:tab w:val="left" w:pos="993" w:leader="none"/>
        </w:tabs>
        <w:spacing w:lineRule="auto" w:line="276"/>
        <w:ind w:hanging="0" w:start="567" w:end="0"/>
        <w:jc w:val="start"/>
        <w:rPr>
          <w:sz w:val="24"/>
          <w:szCs w:val="24"/>
          <w:lang w:val="ru-RU"/>
        </w:rPr>
      </w:pPr>
      <w:r>
        <w:rPr>
          <w:sz w:val="24"/>
          <w:szCs w:val="24"/>
        </w:rPr>
        <w:t>Наивысшее место в итоговой ранжировке получает заявка, имеющая наименьшую цену.</w:t>
      </w:r>
    </w:p>
    <w:p>
      <w:pPr>
        <w:pStyle w:val="Style27"/>
        <w:widowControl w:val="false"/>
        <w:tabs>
          <w:tab w:val="clear" w:pos="1701"/>
          <w:tab w:val="left" w:pos="993" w:leader="none"/>
        </w:tabs>
        <w:spacing w:lineRule="auto" w:line="276"/>
        <w:ind w:hanging="0" w:start="567" w:end="0"/>
        <w:jc w:val="start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</w:r>
    </w:p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567" w:leader="none"/>
        </w:tabs>
        <w:spacing w:lineRule="auto" w:line="276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>Признать Победителем закупки ООО «СМК» (153510, Ивановская обл., г. Кохма, ул. Октябрьская, д.49а, этаж 2, пом. №1) на следующих условиях:</w:t>
      </w:r>
      <w:bookmarkStart w:id="1" w:name="СписокУчастников"/>
      <w:bookmarkEnd w:id="1"/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7"/>
        <w:gridCol w:w="3118"/>
        <w:gridCol w:w="4820"/>
      </w:tblGrid>
      <w:tr>
        <w:trPr>
          <w:tblHeader w:val="true"/>
          <w:trHeight w:val="590" w:hRule="atLeast"/>
        </w:trPr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заявки, руб. с НДС 20%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выполнения работ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rHeight w:val="852" w:hRule="atLeast"/>
        </w:trPr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140 659 166,95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 даты подписания </w:t>
            </w:r>
          </w:p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договора по 15 октября 2026г.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течение 30 рабочих дней после подписания Акта приемки выполненных работ и(или) форм КС-2 и КС-3</w:t>
            </w:r>
          </w:p>
        </w:tc>
      </w:tr>
    </w:tbl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276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>МКС - филиалу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 xml:space="preserve">» заключить договор с ООО «СМК» (153510, Ивановская обл., г. Кохма, ул. Октябрьская, д.49а, этаж 2, пом. №1) на </w:t>
      </w:r>
      <w:r>
        <w:rPr>
          <w:bCs/>
          <w:sz w:val="24"/>
          <w:szCs w:val="24"/>
        </w:rPr>
        <w:t>выполнение</w:t>
      </w:r>
      <w:r>
        <w:rPr>
          <w:sz w:val="24"/>
          <w:szCs w:val="24"/>
        </w:rPr>
        <w:t xml:space="preserve"> ПИР, СМР, ПНР, материалы по титулу: Реконструкция 7КЛ-10кВ направлением ТП-10/0,4кВ № 10237 А - ТП-10/0,4кВ  № 14561 А, ТП-10/0,4кВ № 10237 Б - ТП-10/0,4кВ № 19972 Б, ТП-10/0,4кВ № 10729 А - ТП-10/0,4кВ № 22333 А, ТП-10/0,4кВ № 10729 Б - ТП-10/0,4кВ № 22333 Б, ТП-10/0,4кВ № 10237 А - ТП-10/0,4кВ № 22333 А, ТП-10/0,4кВ № 10237 Б - 22333 Б, ТП-10/0,4кВ № 30211 Б - ТП-10/0,4кВ № 27646 Б, 5КЛ-6кВ направлением РП-6кВ № 2910 с.2 - ТП-6/0,4кВ № 3839 А, РП-6кВ № 2910 с.2 - ТП-6/0,4кВ № 3839, РП-6кВ № 2910 с.1, с.2 - ПС 110/35/10/6кВ № 12 Карачарово, РП-6кВ № 2910 - РТП-6/0,4кВ № 3840, 4КЛ-0,4кВ направлением ТП-10/0,4кВ № 10237 А,Б - вв. 96894, вв. 90433 (переустройство линии с изменением трассы прокладки) для освобождения земельного участка заявителя, в т.ч. ПИР: г.Москва, Рязанский пр-кт, д.2, корп.2, стр.2 для нужд МКС </w:t>
      </w:r>
      <w:r>
        <w:rPr>
          <w:bCs/>
          <w:sz w:val="24"/>
          <w:szCs w:val="24"/>
        </w:rPr>
        <w:t>– филиала ПАО «Россети Московский регион»</w:t>
      </w:r>
      <w:r>
        <w:rPr>
          <w:sz w:val="24"/>
          <w:szCs w:val="24"/>
        </w:rPr>
        <w:t xml:space="preserve"> </w:t>
      </w:r>
      <w:r>
        <w:rPr/>
        <w:t>на следующих условиях:</w:t>
      </w:r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2410"/>
        <w:gridCol w:w="2552"/>
        <w:gridCol w:w="3402"/>
      </w:tblGrid>
      <w:tr>
        <w:trPr>
          <w:tblHeader w:val="true"/>
          <w:trHeight w:val="652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договора, руб. с НДС 20%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Объем работ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выполнения работ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rHeight w:val="1117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140 659 166,95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end="-159"/>
              <w:jc w:val="center"/>
              <w:rPr/>
            </w:pPr>
            <w:r>
              <w:rPr>
                <w:sz w:val="22"/>
                <w:szCs w:val="22"/>
              </w:rPr>
              <w:t>В соответствии с ТЗ (приложение 4 к Извещению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/>
            </w:pPr>
            <w:r>
              <w:rPr>
                <w:sz w:val="22"/>
                <w:szCs w:val="22"/>
              </w:rPr>
              <w:t xml:space="preserve">С даты подписания </w:t>
            </w:r>
          </w:p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договора по 15 октября</w:t>
            </w:r>
          </w:p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2026г.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>В течение 30 рабочих дней после подписания Акта приемки выполненных работ и(или) форм КС-2 и КС-3</w:t>
            </w:r>
          </w:p>
        </w:tc>
      </w:tr>
    </w:tbl>
    <w:p>
      <w:pPr>
        <w:pStyle w:val="Style26"/>
        <w:widowControl w:val="false"/>
        <w:tabs>
          <w:tab w:val="clear" w:pos="709"/>
          <w:tab w:val="left" w:pos="0" w:leader="none"/>
        </w:tabs>
        <w:spacing w:lineRule="auto" w:line="276" w:before="0" w:after="0"/>
        <w:ind w:hanging="0" w:start="0" w:end="0"/>
        <w:contextualSpacing w:val="false"/>
        <w:rPr>
          <w:b/>
          <w:sz w:val="12"/>
          <w:szCs w:val="12"/>
        </w:rPr>
      </w:pPr>
      <w:r>
        <w:rPr>
          <w:b/>
          <w:sz w:val="12"/>
          <w:szCs w:val="12"/>
        </w:rPr>
      </w:r>
    </w:p>
    <w:p>
      <w:pPr>
        <w:pStyle w:val="Style26"/>
        <w:widowControl w:val="false"/>
        <w:tabs>
          <w:tab w:val="clear" w:pos="709"/>
          <w:tab w:val="left" w:pos="0" w:leader="none"/>
        </w:tabs>
        <w:spacing w:lineRule="auto" w:line="276" w:before="0" w:after="0"/>
        <w:ind w:hanging="0" w:start="0" w:end="0"/>
        <w:contextualSpacing w:val="false"/>
        <w:rPr>
          <w:b/>
          <w:sz w:val="24"/>
          <w:szCs w:val="24"/>
        </w:rPr>
      </w:pPr>
      <w:r>
        <w:rPr>
          <w:b/>
          <w:sz w:val="24"/>
          <w:szCs w:val="24"/>
        </w:rPr>
        <w:t>Код случая заключения договора по ПП РФ от 27.05.2021 № 814 – 210</w:t>
      </w:r>
    </w:p>
    <w:p>
      <w:pPr>
        <w:pStyle w:val="Style26"/>
        <w:widowControl w:val="false"/>
        <w:tabs>
          <w:tab w:val="clear" w:pos="709"/>
          <w:tab w:val="left" w:pos="0" w:leader="none"/>
        </w:tabs>
        <w:spacing w:lineRule="auto" w:line="276" w:before="0" w:after="0"/>
        <w:ind w:hanging="0" w:start="0" w:end="0"/>
        <w:contextualSpacing w:val="false"/>
        <w:rPr>
          <w:b/>
          <w:sz w:val="6"/>
          <w:szCs w:val="6"/>
        </w:rPr>
      </w:pPr>
      <w:r>
        <w:rPr>
          <w:b/>
          <w:sz w:val="6"/>
          <w:szCs w:val="6"/>
        </w:rPr>
      </w:r>
    </w:p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276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>Победителю закупки ООО «СМК» (153510, Ивановская обл., г. Кохма, ул. Октябрьская, д.49а, этаж 2, пом. №1) предоставить Заказчику финансовое обеспечение исполнения обязательств по договору в соответствии с порядком, предусмотренным проектом договора, и с учетом условий, указанных в Приложении №1 к настоящему протоколу.</w:t>
      </w:r>
    </w:p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276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>В случае необходимости предварительного одобрения Советом директоров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276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рабочих дней </w:t>
      </w:r>
      <w:r>
        <w:rPr>
          <w:bCs/>
          <w:sz w:val="24"/>
          <w:szCs w:val="24"/>
        </w:rPr>
        <w:t>с даты размещения в ЕИС итогового протокола, составленного по результатам закупки</w:t>
      </w:r>
      <w:r>
        <w:rPr>
          <w:sz w:val="24"/>
          <w:szCs w:val="24"/>
        </w:rPr>
        <w:t>.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Закупочной комиссии, оператора электронной площадки договор должен быть заключен в срок не позднее 20 (двадцати) рабочих дней с момента принятия соответствующего решения (одобрения, вынесения решения по жалобе, иску).</w:t>
      </w:r>
    </w:p>
    <w:p>
      <w:pPr>
        <w:pStyle w:val="21"/>
        <w:keepNext w:val="true"/>
        <w:spacing w:lineRule="auto" w:line="276" w:before="0" w:after="0"/>
        <w:ind w:start="0" w:end="-153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21"/>
        <w:keepNext w:val="true"/>
        <w:spacing w:lineRule="auto" w:line="276" w:before="0" w:after="0"/>
        <w:ind w:start="0" w:end="-153"/>
        <w:contextualSpacing/>
        <w:jc w:val="start"/>
        <w:rPr>
          <w:szCs w:val="24"/>
        </w:rPr>
      </w:pPr>
      <w:r>
        <w:rPr>
          <w:szCs w:val="24"/>
        </w:rPr>
        <w:t>Приложение: Условия выбора финансового обеспечения – на 1 л.</w:t>
      </w:r>
    </w:p>
    <w:p>
      <w:pPr>
        <w:pStyle w:val="21"/>
        <w:keepNext w:val="true"/>
        <w:spacing w:lineRule="auto" w:line="276" w:before="0" w:after="0"/>
        <w:ind w:start="0" w:end="-153"/>
        <w:contextualSpacing/>
        <w:jc w:val="start"/>
        <w:rPr>
          <w:szCs w:val="24"/>
        </w:rPr>
      </w:pPr>
      <w:r>
        <w:rPr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lineRule="auto" w:line="276" w:before="120" w:after="0"/>
        <w:ind w:hanging="567" w:start="567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РЕЗУЛЬТАТЫ ГОЛОСОВАНИЯ</w:t>
      </w:r>
      <w:r>
        <w:rPr>
          <w:rFonts w:cs="Times New Roman" w:ascii="Times New Roman" w:hAnsi="Times New Roman"/>
          <w:sz w:val="23"/>
          <w:szCs w:val="23"/>
        </w:rPr>
        <w:t xml:space="preserve"> (в соответствии с опросными листами)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widowControl w:val="false"/>
        <w:suppressAutoHyphens w:val="true"/>
        <w:spacing w:lineRule="auto" w:line="276" w:before="120" w:after="0"/>
        <w:ind w:hanging="0" w:end="0"/>
        <w:rPr>
          <w:sz w:val="24"/>
          <w:szCs w:val="24"/>
        </w:rPr>
      </w:pPr>
      <w:r>
        <w:rPr>
          <w:sz w:val="24"/>
          <w:szCs w:val="24"/>
        </w:rPr>
        <w:t xml:space="preserve">«За» - </w:t>
      </w:r>
      <w:bookmarkStart w:id="2" w:name="КоличествоЧленов"/>
      <w:bookmarkEnd w:id="2"/>
      <w:r>
        <w:rPr>
          <w:sz w:val="24"/>
          <w:szCs w:val="24"/>
        </w:rPr>
        <w:t>11 (одиннадцать</w:t>
      </w:r>
      <w:r>
        <w:rPr>
          <w:color w:val="000000"/>
          <w:sz w:val="24"/>
          <w:szCs w:val="24"/>
        </w:rPr>
        <w:t xml:space="preserve">) </w:t>
      </w:r>
      <w:r>
        <w:rPr>
          <w:sz w:val="24"/>
          <w:szCs w:val="24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76"/>
        <w:ind w:hanging="0" w:end="0"/>
        <w:rPr/>
      </w:pPr>
      <w:r>
        <w:rPr>
          <w:sz w:val="24"/>
          <w:szCs w:val="24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76"/>
        <w:ind w:hanging="0" w:end="0"/>
        <w:rPr>
          <w:sz w:val="24"/>
          <w:szCs w:val="24"/>
        </w:rPr>
      </w:pPr>
      <w:r>
        <w:rPr>
          <w:sz w:val="24"/>
          <w:szCs w:val="24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76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76"/>
        <w:ind w:hanging="0" w:end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ПОДПИСИ:</w:t>
      </w:r>
    </w:p>
    <w:tbl>
      <w:tblPr>
        <w:tblpPr w:vertAnchor="text" w:horzAnchor="margin" w:leftFromText="180" w:rightFromText="180" w:tblpX="113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1985"/>
        <w:gridCol w:w="1984"/>
        <w:gridCol w:w="4145"/>
      </w:tblGrid>
      <w:tr>
        <w:trPr>
          <w:trHeight w:val="990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/>
            </w:pPr>
            <w:r>
              <w:rPr>
                <w:sz w:val="24"/>
                <w:szCs w:val="24"/>
              </w:rPr>
              <w:t>Заместитель Председателя</w:t>
            </w:r>
            <w:r>
              <w:rPr>
                <w:bCs/>
                <w:sz w:val="24"/>
                <w:szCs w:val="24"/>
              </w:rPr>
              <w:t xml:space="preserve"> К</w:t>
            </w:r>
            <w:r>
              <w:rPr>
                <w:sz w:val="24"/>
                <w:szCs w:val="24"/>
              </w:rPr>
              <w:t>омиссии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Старостина Я.О.</w:t>
            </w:r>
          </w:p>
        </w:tc>
        <w:tc>
          <w:tcPr>
            <w:tcW w:w="4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Директор департамента организации конкурсных процедур </w:t>
            </w:r>
            <w:r>
              <w:rPr>
                <w:bCs/>
                <w:sz w:val="24"/>
                <w:szCs w:val="24"/>
              </w:rPr>
              <w:t>ПАО «Россети Московский регион»</w:t>
            </w:r>
          </w:p>
        </w:tc>
      </w:tr>
      <w:tr>
        <w:trPr>
          <w:trHeight w:val="970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Секретарь Комиссии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4"/>
                <w:szCs w:val="24"/>
              </w:rPr>
              <w:t>Гусев К.В.</w:t>
            </w:r>
          </w:p>
        </w:tc>
        <w:tc>
          <w:tcPr>
            <w:tcW w:w="4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Начальник управления организации конкурсных закупок ПАО «Россети Московский регион»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/>
        <w:ind w:hanging="0" w:end="0"/>
        <w:rPr>
          <w:bCs/>
          <w:sz w:val="4"/>
          <w:szCs w:val="4"/>
        </w:rPr>
      </w:pPr>
      <w:r>
        <w:rPr>
          <w:bCs/>
          <w:sz w:val="4"/>
          <w:szCs w:val="4"/>
        </w:rPr>
      </w:r>
    </w:p>
    <w:p>
      <w:pPr>
        <w:pStyle w:val="Normal"/>
        <w:widowControl w:val="false"/>
        <w:spacing w:lineRule="auto" w:line="240"/>
        <w:ind w:hanging="0" w:end="0"/>
        <w:rPr>
          <w:bCs/>
          <w:i/>
          <w:i/>
          <w:color w:val="000000"/>
          <w:sz w:val="22"/>
          <w:szCs w:val="22"/>
        </w:rPr>
      </w:pPr>
      <w:r>
        <w:rPr>
          <w:bCs/>
          <w:i/>
          <w:color w:val="000000"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Огородникова Е.А.   </w:t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>+7 (495) 662-40-70  (вн. 47-73)</w:t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  <w:lang w:val="en-US"/>
        </w:rPr>
      </w:pPr>
      <w:r>
        <w:rPr>
          <w:i/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  <w:lang w:val="en-US"/>
        </w:rPr>
      </w:pPr>
      <w:r>
        <w:rPr>
          <w:i/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  <w:lang w:val="en-US"/>
        </w:rPr>
      </w:pPr>
      <w:r>
        <w:rPr>
          <w:i/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  <w:lang w:val="en-US"/>
        </w:rPr>
      </w:pPr>
      <w:r>
        <w:rPr>
          <w:i/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  <w:lang w:val="en-US"/>
        </w:rPr>
      </w:pPr>
      <w:r>
        <w:rPr>
          <w:i/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  <w:lang w:val="en-US"/>
        </w:rPr>
      </w:pPr>
      <w:r>
        <w:rPr>
          <w:i/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  <w:lang w:val="en-US"/>
        </w:rPr>
      </w:pPr>
      <w:r>
        <w:rPr>
          <w:i/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  <w:lang w:val="en-US"/>
        </w:rPr>
      </w:pPr>
      <w:r>
        <w:rPr>
          <w:i/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  <w:lang w:val="en-US"/>
        </w:rPr>
      </w:pPr>
      <w:r>
        <w:rPr>
          <w:i/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  <w:lang w:val="en-US"/>
        </w:rPr>
      </w:pPr>
      <w:r>
        <w:rPr>
          <w:i/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  <w:lang w:val="en-US"/>
        </w:rPr>
      </w:pPr>
      <w:r>
        <w:rPr>
          <w:i/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  <w:lang w:val="en-US"/>
        </w:rPr>
      </w:pPr>
      <w:r>
        <w:rPr>
          <w:i/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sectPr>
      <w:footerReference w:type="default" r:id="rId3"/>
      <w:type w:val="nextPage"/>
      <w:pgSz w:w="11906" w:h="16838"/>
      <w:pgMar w:left="1080" w:right="849" w:gutter="0" w:header="0" w:top="426" w:footer="321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 Unicode MS">
    <w:charset w:val="8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 w:cs="Times New Roman"/>
        <w:sz w:val="16"/>
        <w:szCs w:val="16"/>
      </w:rPr>
    </w:pPr>
    <w:r>
      <w:rPr>
        <w:rFonts w:cs="Times New Roman" w:ascii="Times New Roman" w:hAnsi="Times New Roman"/>
        <w:sz w:val="16"/>
        <w:szCs w:val="16"/>
      </w:rPr>
      <w:t>Протокол №РМР/5653</w:t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5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 w:cs="Times New Roman"/>
        <w:sz w:val="16"/>
        <w:szCs w:val="16"/>
      </w:rPr>
    </w:pPr>
    <w:r>
      <w:rPr>
        <w:rFonts w:cs="Times New Roman" w:ascii="Times New Roman" w:hAnsi="Times New Roman"/>
        <w:sz w:val="16"/>
        <w:szCs w:val="16"/>
      </w:rPr>
      <w:t>очно-заочного заседания Постоянно действующей конкурсной комиссии (далее - Комиссия) по ранжированию заявок Участников и подведению итогов закупки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/>
    </w:pPr>
    <w:r>
      <w:rPr>
        <w:rFonts w:cs="Times New Roman" w:ascii="Times New Roman" w:hAnsi="Times New Roman"/>
        <w:sz w:val="16"/>
        <w:szCs w:val="16"/>
      </w:rPr>
      <w:t xml:space="preserve"> </w:t>
    </w:r>
    <w:r>
      <w:rPr>
        <w:rFonts w:cs="Times New Roman" w:ascii="Times New Roman" w:hAnsi="Times New Roman"/>
        <w:sz w:val="16"/>
        <w:szCs w:val="16"/>
      </w:rPr>
      <w:t xml:space="preserve">(ЕИС № </w:t>
    </w:r>
    <w:r>
      <w:rPr>
        <w:rFonts w:cs="Times New Roman" w:ascii="Times New Roman" w:hAnsi="Times New Roman"/>
        <w:kern w:val="2"/>
        <w:sz w:val="16"/>
        <w:szCs w:val="16"/>
      </w:rPr>
      <w:t>32515462416</w:t>
    </w:r>
    <w:r>
      <w:rPr>
        <w:rFonts w:cs="Times New Roman" w:ascii="Times New Roman" w:hAnsi="Times New Roman"/>
        <w:sz w:val="16"/>
        <w:szCs w:val="16"/>
      </w:rPr>
      <w:t>)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pStyle w:val="Heading4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644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5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 w:end="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b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7z1">
    <w:name w:val="WW8Num7z1"/>
    <w:qFormat/>
    <w:rPr>
      <w:b/>
    </w:rPr>
  </w:style>
  <w:style w:type="character" w:styleId="WW8Num7z2">
    <w:name w:val="WW8Num7z2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sz w:val="24"/>
    </w:rPr>
  </w:style>
  <w:style w:type="character" w:styleId="WW8Num11z0">
    <w:name w:val="WW8Num11z0"/>
    <w:qFormat/>
    <w:rPr>
      <w:b/>
    </w:rPr>
  </w:style>
  <w:style w:type="character" w:styleId="WW8Num11z1">
    <w:name w:val="WW8Num11z1"/>
    <w:qFormat/>
    <w:rPr>
      <w:b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Times New Roman" w:hAnsi="Times New Roman" w:eastAsia="Times New Roman" w:cs="Times New Roman"/>
    </w:rPr>
  </w:style>
  <w:style w:type="character" w:styleId="WW8Num14z0">
    <w:name w:val="WW8Num14z0"/>
    <w:qFormat/>
    <w:rPr/>
  </w:style>
  <w:style w:type="character" w:styleId="WW8Num14z1">
    <w:name w:val="WW8Num14z1"/>
    <w:qFormat/>
    <w:rPr>
      <w:sz w:val="20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b/>
      <w:color w:val="000000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>
      <w:rFonts w:ascii="Times New Roman" w:hAnsi="Times New Roman" w:cs="Times New Roman"/>
    </w:rPr>
  </w:style>
  <w:style w:type="character" w:styleId="WW8Num28z1">
    <w:name w:val="WW8Num28z1"/>
    <w:qFormat/>
    <w:rPr>
      <w:b/>
    </w:rPr>
  </w:style>
  <w:style w:type="character" w:styleId="WW8Num28z2">
    <w:name w:val="WW8Num28z2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Style10">
    <w:name w:val="Основной шрифт абзаца"/>
    <w:qFormat/>
    <w:rPr/>
  </w:style>
  <w:style w:type="character" w:styleId="Style11">
    <w:name w:val="комментарий"/>
    <w:qFormat/>
    <w:rPr>
      <w:b/>
      <w:i/>
      <w:shd w:fill="FFFF99" w:val="clear"/>
    </w:rPr>
  </w:style>
  <w:style w:type="character" w:styleId="PageNumber">
    <w:name w:val="page number"/>
    <w:basedOn w:val="Style10"/>
    <w:rPr/>
  </w:style>
  <w:style w:type="character" w:styleId="Style12">
    <w:name w:val="Пункт Знак"/>
    <w:qFormat/>
    <w:rPr>
      <w:b/>
      <w:sz w:val="28"/>
      <w:szCs w:val="28"/>
      <w:lang w:val="ru-RU" w:bidi="ar-SA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Style13">
    <w:name w:val="Верхний колонтитул Знак"/>
    <w:qFormat/>
    <w:rPr>
      <w:sz w:val="28"/>
      <w:lang w:val="ru-RU" w:bidi="ar-SA"/>
    </w:rPr>
  </w:style>
  <w:style w:type="character" w:styleId="1">
    <w:name w:val="Пункт Знак1"/>
    <w:qFormat/>
    <w:rPr>
      <w:b/>
      <w:sz w:val="28"/>
      <w:szCs w:val="28"/>
      <w:lang w:val="ru-RU" w:bidi="ar-SA"/>
    </w:rPr>
  </w:style>
  <w:style w:type="character" w:styleId="webofficeattributevalue1">
    <w:name w:val="webofficeattributevalue1"/>
    <w:qFormat/>
    <w:rPr>
      <w:rFonts w:ascii="Verdana" w:hAnsi="Verdana" w:cs="Verdana"/>
      <w:strike w:val="false"/>
      <w:dstrike w:val="false"/>
      <w:color w:val="000000"/>
      <w:sz w:val="16"/>
      <w:szCs w:val="16"/>
      <w:u w:val="none"/>
    </w:rPr>
  </w:style>
  <w:style w:type="character" w:styleId="value">
    <w:name w:val="value"/>
    <w:basedOn w:val="Style10"/>
    <w:qFormat/>
    <w:rPr/>
  </w:style>
  <w:style w:type="character" w:styleId="x-small1">
    <w:name w:val="x-small1"/>
    <w:qFormat/>
    <w:rPr>
      <w:sz w:val="18"/>
      <w:szCs w:val="18"/>
    </w:rPr>
  </w:style>
  <w:style w:type="character" w:styleId="Style14">
    <w:name w:val="Замещающий текст"/>
    <w:qFormat/>
    <w:rPr>
      <w:color w:val="808080"/>
    </w:rPr>
  </w:style>
  <w:style w:type="character" w:styleId="Style15">
    <w:name w:val="Название Знак"/>
    <w:qFormat/>
    <w:rPr>
      <w:sz w:val="28"/>
      <w:szCs w:val="24"/>
    </w:rPr>
  </w:style>
  <w:style w:type="character" w:styleId="11">
    <w:name w:val="Подпункт Знак1"/>
    <w:qFormat/>
    <w:rPr>
      <w:sz w:val="22"/>
    </w:rPr>
  </w:style>
  <w:style w:type="character" w:styleId="2">
    <w:name w:val="Основной текст с отступом 2 Знак"/>
    <w:qFormat/>
    <w:rPr>
      <w:sz w:val="24"/>
    </w:rPr>
  </w:style>
  <w:style w:type="paragraph" w:styleId="Heading">
    <w:name w:val="Heading"/>
    <w:basedOn w:val="Normal"/>
    <w:next w:val="BodyText"/>
    <w:qFormat/>
    <w:pPr>
      <w:ind w:hanging="0" w:start="0" w:end="0"/>
      <w:jc w:val="center"/>
    </w:pPr>
    <w:rPr>
      <w:szCs w:val="24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>
    <w:name w:val="Стиль Заголовок 1 + по ширине"/>
    <w:basedOn w:val="Heading1"/>
    <w:qFormat/>
    <w:pPr>
      <w:keepLines/>
      <w:numPr>
        <w:ilvl w:val="0"/>
        <w:numId w:val="4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pPr>
      <w:tabs>
        <w:tab w:val="clear" w:pos="709"/>
        <w:tab w:val="left" w:pos="720" w:leader="none"/>
      </w:tabs>
      <w:spacing w:lineRule="auto" w:line="240"/>
      <w:ind w:firstLine="567" w:start="-360" w:end="0"/>
    </w:pPr>
    <w:rPr>
      <w:sz w:val="2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7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8">
    <w:name w:val="Пункт"/>
    <w:basedOn w:val="Normal"/>
    <w:qFormat/>
    <w:pPr>
      <w:tabs>
        <w:tab w:val="clear" w:pos="709"/>
        <w:tab w:val="left" w:pos="1134" w:leader="none"/>
      </w:tabs>
      <w:ind w:hanging="1134" w:start="1134" w:end="0"/>
    </w:pPr>
    <w:rPr>
      <w:b/>
      <w:szCs w:val="28"/>
    </w:rPr>
  </w:style>
  <w:style w:type="paragraph" w:styleId="-2">
    <w:name w:val="Пункт-2"/>
    <w:basedOn w:val="Style18"/>
    <w:qFormat/>
    <w:pPr>
      <w:keepNext w:val="true"/>
      <w:outlineLvl w:val="2"/>
    </w:pPr>
    <w:rPr>
      <w:b w:val="false"/>
    </w:rPr>
  </w:style>
  <w:style w:type="paragraph" w:styleId="Style19">
    <w:name w:val="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WW-">
    <w:name w:val="WW-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0">
    <w:name w:val="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WW-1">
    <w:name w:val="WW-Знак1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13">
    <w:name w:val="Знак Знак Знак1 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1">
    <w:name w:val="Нумерованный список"/>
    <w:basedOn w:val="Normal"/>
    <w:qFormat/>
    <w:pPr>
      <w:numPr>
        <w:ilvl w:val="0"/>
        <w:numId w:val="6"/>
      </w:numPr>
      <w:autoSpaceDE w:val="false"/>
      <w:spacing w:before="60" w:after="0"/>
    </w:pPr>
    <w:rPr>
      <w:bCs/>
      <w:sz w:val="22"/>
      <w:szCs w:val="24"/>
    </w:rPr>
  </w:style>
  <w:style w:type="paragraph" w:styleId="21">
    <w:name w:val="Основной текст с отступом 2"/>
    <w:basedOn w:val="Normal"/>
    <w:qFormat/>
    <w:pPr>
      <w:spacing w:lineRule="auto" w:line="240"/>
      <w:ind w:hanging="0" w:start="-540" w:end="0"/>
      <w:jc w:val="center"/>
    </w:pPr>
    <w:rPr>
      <w:sz w:val="24"/>
    </w:rPr>
  </w:style>
  <w:style w:type="paragraph" w:styleId="14">
    <w:name w:val="Обычный1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xl34">
    <w:name w:val="xl34"/>
    <w:basedOn w:val="Normal"/>
    <w:qFormat/>
    <w:pPr>
      <w:pBdr>
        <w:left w:val="single" w:sz="4" w:space="0" w:color="000000"/>
        <w:right w:val="single" w:sz="4" w:space="0" w:color="000000"/>
      </w:pBdr>
      <w:spacing w:lineRule="auto" w:line="240" w:before="280" w:after="280"/>
      <w:ind w:hanging="0" w:start="0" w:end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2">
    <w:name w:val="Знак 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WW-11">
    <w:name w:val="WW-Знак Знак Знак1 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3">
    <w:name w:val="Знак Знак Знак Знак 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4">
    <w:name w:val="Ариал"/>
    <w:basedOn w:val="Normal"/>
    <w:qFormat/>
    <w:pPr>
      <w:spacing w:before="120" w:after="120"/>
      <w:ind w:firstLine="851" w:start="0" w:end="0"/>
    </w:pPr>
    <w:rPr>
      <w:rFonts w:ascii="Arial" w:hAnsi="Arial" w:cs="Arial"/>
      <w:sz w:val="24"/>
      <w:szCs w:val="24"/>
    </w:rPr>
  </w:style>
  <w:style w:type="paragraph" w:styleId="WW-2">
    <w:name w:val="WW-Знак Знак Знак Знак 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3">
    <w:name w:val="Обычный3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4">
    <w:name w:val="Обычный4"/>
    <w:qFormat/>
    <w:pPr>
      <w:widowControl/>
      <w:bidi w:val="0"/>
    </w:pPr>
    <w:rPr>
      <w:rFonts w:ascii="Arial" w:hAnsi="Arial" w:eastAsia="Times New Roman" w:cs="Arial"/>
      <w:color w:val="auto"/>
      <w:sz w:val="18"/>
      <w:szCs w:val="20"/>
      <w:lang w:val="ru-RU" w:bidi="ar-SA" w:eastAsia="zh-CN"/>
    </w:rPr>
  </w:style>
  <w:style w:type="paragraph" w:styleId="5">
    <w:name w:val="Обычный5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22">
    <w:name w:val="Обычный2"/>
    <w:qFormat/>
    <w:pPr>
      <w:widowControl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5">
    <w:name w:val="Обычный (веб)"/>
    <w:basedOn w:val="Normal"/>
    <w:qFormat/>
    <w:pPr>
      <w:spacing w:lineRule="auto" w:line="240" w:before="280" w:after="280"/>
      <w:ind w:hanging="0" w:start="0" w:end="0"/>
      <w:jc w:val="start"/>
    </w:pPr>
    <w:rPr>
      <w:sz w:val="24"/>
      <w:szCs w:val="24"/>
    </w:rPr>
  </w:style>
  <w:style w:type="paragraph" w:styleId="WW-12">
    <w:name w:val="WW-Обычный1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6">
    <w:name w:val="Абзац списка"/>
    <w:basedOn w:val="Normal"/>
    <w:qFormat/>
    <w:pPr>
      <w:suppressAutoHyphens w:val="true"/>
      <w:spacing w:before="0" w:after="0"/>
      <w:ind w:firstLine="567" w:start="720" w:end="0"/>
      <w:contextualSpacing/>
    </w:pPr>
    <w:rPr>
      <w:kern w:val="2"/>
    </w:rPr>
  </w:style>
  <w:style w:type="paragraph" w:styleId="Style27">
    <w:name w:val="Подпункт"/>
    <w:basedOn w:val="Normal"/>
    <w:qFormat/>
    <w:pPr>
      <w:tabs>
        <w:tab w:val="clear" w:pos="709"/>
        <w:tab w:val="left" w:pos="1701" w:leader="none"/>
      </w:tabs>
      <w:ind w:hanging="1134" w:start="1701" w:end="0"/>
    </w:pPr>
    <w:rPr>
      <w:sz w:val="22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tender.lot-online.ru/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ПрРРП1.dotx</Template>
  <TotalTime>3481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2018-06-29T10:41:00Z</dcterms:created>
  <dc:creator>moesk</dc:creator>
  <dc:description>1815</dc:description>
  <cp:keywords/>
  <dc:language>en-US</dc:language>
  <cp:lastModifiedBy>Огородникова Елена Алексеевна</cp:lastModifiedBy>
  <cp:lastPrinted>2019-12-18T09:26:00Z</cp:lastPrinted>
  <dcterms:modified xsi:type="dcterms:W3CDTF">2025-12-12T09:25:00Z</dcterms:modified>
  <cp:revision>2948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