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Протокол №РМР/5654</w:t>
      </w:r>
    </w:p>
    <w:p>
      <w:pPr>
        <w:pStyle w:val="Normal"/>
        <w:widowControl w:val="false"/>
        <w:suppressAutoHyphens w:val="true"/>
        <w:spacing w:lineRule="auto" w:line="240"/>
        <w:ind w:hanging="0" w:start="-142" w:end="-306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очно-заочного заседания Постоянно действующей конкурсной комиссии (далее - Комиссия) по ранжированию заявок Участников и подведению итогов закупки</w:t>
      </w:r>
    </w:p>
    <w:p>
      <w:pPr>
        <w:pStyle w:val="Normal"/>
        <w:widowControl w:val="false"/>
        <w:suppressAutoHyphens w:val="true"/>
        <w:spacing w:lineRule="auto" w:line="240" w:before="0" w:after="120"/>
        <w:ind w:hanging="0" w:start="-142" w:end="-306"/>
        <w:jc w:val="center"/>
        <w:rPr>
          <w:b/>
          <w:sz w:val="23"/>
          <w:szCs w:val="23"/>
        </w:rPr>
      </w:pPr>
      <w:r>
        <w:rPr>
          <w:b/>
          <w:bCs/>
          <w:kern w:val="2"/>
          <w:sz w:val="23"/>
          <w:szCs w:val="23"/>
        </w:rPr>
        <w:t>(ЕИС</w:t>
      </w:r>
      <w:r>
        <w:rPr>
          <w:b/>
          <w:sz w:val="23"/>
          <w:szCs w:val="23"/>
        </w:rPr>
        <w:t xml:space="preserve"> № </w:t>
      </w:r>
      <w:r>
        <w:rPr>
          <w:b/>
          <w:kern w:val="2"/>
          <w:sz w:val="23"/>
          <w:szCs w:val="23"/>
        </w:rPr>
        <w:t>32515462418</w:t>
      </w:r>
      <w:r>
        <w:rPr>
          <w:b/>
          <w:sz w:val="23"/>
          <w:szCs w:val="23"/>
        </w:rPr>
        <w:t>)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2"/>
        <w:gridCol w:w="2324"/>
        <w:gridCol w:w="2637"/>
      </w:tblGrid>
      <w:tr>
        <w:trPr>
          <w:trHeight w:val="495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14" w:end="0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Место заседания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принятия решения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firstLine="1" w:start="-79" w:end="-52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Дата подписания протокола</w:t>
            </w:r>
          </w:p>
        </w:tc>
      </w:tr>
      <w:tr>
        <w:trPr>
          <w:trHeight w:val="944" w:hRule="atLeast"/>
        </w:trPr>
        <w:tc>
          <w:tcPr>
            <w:tcW w:w="4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suppressAutoHyphens w:val="true"/>
              <w:ind w:hanging="0" w:end="0"/>
              <w:jc w:val="center"/>
              <w:rPr/>
            </w:pPr>
            <w:r>
              <w:rPr>
                <w:szCs w:val="24"/>
              </w:rPr>
              <w:t>г. Москва, 2-й Павелецкий проезд, д.3, стр.2, Департамент организации конкурсных процедур ПАО «</w:t>
            </w:r>
            <w:r>
              <w:rPr>
                <w:bCs/>
                <w:szCs w:val="24"/>
              </w:rPr>
              <w:t>Россети Московский регион</w:t>
            </w:r>
            <w:r>
              <w:rPr>
                <w:szCs w:val="24"/>
              </w:rPr>
              <w:t>»</w:t>
            </w:r>
          </w:p>
        </w:tc>
        <w:tc>
          <w:tcPr>
            <w:tcW w:w="232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11.12.20</w:t>
            </w:r>
            <w:r>
              <w:rPr>
                <w:b/>
                <w:bCs/>
                <w:szCs w:val="24"/>
                <w:lang w:val="en-US"/>
              </w:rPr>
              <w:t>2</w:t>
            </w:r>
            <w:r>
              <w:rPr>
                <w:b/>
                <w:bCs/>
                <w:szCs w:val="24"/>
              </w:rPr>
              <w:t>5</w:t>
            </w:r>
          </w:p>
        </w:tc>
        <w:tc>
          <w:tcPr>
            <w:tcW w:w="26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4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/>
            </w:pPr>
            <w:r>
              <w:rPr>
                <w:b/>
                <w:bCs/>
                <w:szCs w:val="24"/>
              </w:rPr>
              <w:t>12.12.20</w:t>
            </w:r>
            <w:r>
              <w:rPr>
                <w:b/>
                <w:bCs/>
                <w:szCs w:val="24"/>
                <w:lang w:val="en-US"/>
              </w:rPr>
              <w:t>2</w:t>
            </w:r>
            <w:r>
              <w:rPr>
                <w:b/>
                <w:bCs/>
                <w:szCs w:val="24"/>
              </w:rPr>
              <w:t>5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24"/>
          <w:szCs w:val="24"/>
        </w:rPr>
      </w:pP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Настоящий запрос цен по результатам предварительного отбора в электронной форме (далее – закупка) проводится с использованием функционала электронной торговой площадки АО «Российский </w:t>
      </w:r>
      <w:r>
        <w:rPr>
          <w:rFonts w:cs="Times New Roman" w:ascii="Times New Roman" w:hAnsi="Times New Roman"/>
          <w:b w:val="false"/>
          <w:sz w:val="24"/>
          <w:szCs w:val="24"/>
        </w:rPr>
        <w:t>аукционный дом</w:t>
      </w:r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>» (</w:t>
      </w:r>
      <w:hyperlink r:id="rId2"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www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tender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lot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-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  <w:lang w:val="en-US"/>
          </w:rPr>
          <w:t>online</w:t>
        </w:r>
        <w:r>
          <w:rPr>
            <w:rStyle w:val="Hyperlink"/>
            <w:rFonts w:cs="Times New Roman" w:ascii="Times New Roman" w:hAnsi="Times New Roman"/>
            <w:b/>
            <w:sz w:val="24"/>
            <w:szCs w:val="24"/>
          </w:rPr>
          <w:t>.ru</w:t>
        </w:r>
      </w:hyperlink>
      <w:r>
        <w:rPr>
          <w:rFonts w:cs="Times New Roman" w:ascii="Times New Roman" w:hAnsi="Times New Roman"/>
          <w:b w:val="false"/>
          <w:bCs w:val="false"/>
          <w:kern w:val="0"/>
          <w:sz w:val="24"/>
          <w:szCs w:val="24"/>
        </w:rPr>
        <w:t xml:space="preserve">) согласно правилам работы данной системы. 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23"/>
          <w:szCs w:val="23"/>
          <w:lang w:val="en-US"/>
        </w:rPr>
      </w:pPr>
      <w:r>
        <w:rPr>
          <w:rFonts w:cs="Times New Roman" w:ascii="Times New Roman" w:hAnsi="Times New Roman"/>
          <w:b w:val="false"/>
          <w:bCs w:val="false"/>
          <w:kern w:val="0"/>
          <w:sz w:val="23"/>
          <w:szCs w:val="23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 w:end="54"/>
        <w:rPr>
          <w:rFonts w:ascii="Times New Roman" w:hAnsi="Times New Roman" w:cs="Times New Roman"/>
          <w:b w:val="false"/>
          <w:bCs w:val="false"/>
          <w:kern w:val="0"/>
          <w:sz w:val="10"/>
          <w:szCs w:val="10"/>
          <w:lang w:val="en-US"/>
        </w:rPr>
      </w:pPr>
      <w:r>
        <w:rPr>
          <w:rFonts w:cs="Times New Roman" w:ascii="Times New Roman" w:hAnsi="Times New Roman"/>
          <w:b w:val="false"/>
          <w:bCs w:val="false"/>
          <w:kern w:val="0"/>
          <w:sz w:val="10"/>
          <w:szCs w:val="10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0" w:after="0"/>
        <w:ind w:hanging="567" w:start="567" w:end="0"/>
        <w:rPr>
          <w:rFonts w:ascii="Times New Roman" w:hAnsi="Times New Roman" w:cs="Times New Roman"/>
          <w:sz w:val="23"/>
          <w:szCs w:val="23"/>
          <w:lang w:val="en-US"/>
        </w:rPr>
      </w:pPr>
      <w:r>
        <w:rPr>
          <w:rFonts w:cs="Times New Roman" w:ascii="Times New Roman" w:hAnsi="Times New Roman"/>
          <w:sz w:val="23"/>
          <w:szCs w:val="23"/>
        </w:rPr>
        <w:t>ОБЩАЯ ИНФОРМАЦИЯ О ЗАКУПКЕ: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Предмет закупки</w:t>
      </w:r>
      <w:r>
        <w:rPr>
          <w:sz w:val="24"/>
          <w:szCs w:val="24"/>
        </w:rPr>
        <w:t xml:space="preserve">: </w:t>
      </w:r>
      <w:r>
        <w:rPr>
          <w:iCs/>
          <w:sz w:val="24"/>
          <w:szCs w:val="24"/>
        </w:rPr>
        <w:t xml:space="preserve">определение подрядчика </w:t>
      </w:r>
      <w:r>
        <w:rPr>
          <w:bCs/>
          <w:sz w:val="24"/>
          <w:szCs w:val="24"/>
        </w:rPr>
        <w:t xml:space="preserve">на выполнение </w:t>
      </w:r>
      <w:r>
        <w:rPr>
          <w:sz w:val="24"/>
          <w:szCs w:val="24"/>
        </w:rPr>
        <w:t xml:space="preserve">ПИР, СМР, ПНР, материалы, оборудование по титулу: Строительство РП-10кВ с установкой 12 ячеек, 2КЛ-10кВ от сооруж. РП-10кВ до РП-10кВ № 394 Бирюлево (сооружается по договору № ИА-21-302-8997(906995), сооруж. ТП-10/0,4кВ, в т.ч. ПИР: г.Москва, ул.Бакинская, влад.32 для нужд МКС </w:t>
      </w:r>
      <w:r>
        <w:rPr>
          <w:bCs/>
          <w:sz w:val="24"/>
          <w:szCs w:val="24"/>
        </w:rPr>
        <w:t>– филиала ПАО</w:t>
      </w:r>
      <w:r>
        <w:rPr>
          <w:bCs/>
          <w:sz w:val="24"/>
          <w:szCs w:val="24"/>
          <w:lang w:val="en-US"/>
        </w:rPr>
        <w:t> </w:t>
      </w:r>
      <w:r>
        <w:rPr>
          <w:bCs/>
          <w:sz w:val="24"/>
          <w:szCs w:val="24"/>
        </w:rPr>
        <w:t>«Россети Московский регион».</w:t>
      </w:r>
    </w:p>
    <w:p>
      <w:pPr>
        <w:pStyle w:val="Normal"/>
        <w:widowControl w:val="false"/>
        <w:numPr>
          <w:ilvl w:val="0"/>
          <w:numId w:val="0"/>
        </w:numPr>
        <w:spacing w:lineRule="auto" w:line="240"/>
        <w:ind w:start="0" w:hanging="0" w:end="0"/>
        <w:outlineLvl w:val="1"/>
        <w:rPr>
          <w:rFonts w:eastAsia="Calibri"/>
          <w:sz w:val="24"/>
          <w:szCs w:val="24"/>
        </w:rPr>
      </w:pPr>
      <w:r>
        <w:rPr>
          <w:sz w:val="24"/>
          <w:szCs w:val="24"/>
          <w:u w:val="single"/>
        </w:rPr>
        <w:t>Основание для проведения закупки</w:t>
      </w:r>
      <w:r>
        <w:rPr>
          <w:sz w:val="24"/>
          <w:szCs w:val="24"/>
        </w:rPr>
        <w:t>: Распоряжение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 от 04.03.2025 №269р.</w:t>
      </w:r>
    </w:p>
    <w:p>
      <w:pPr>
        <w:pStyle w:val="Normal"/>
        <w:widowControl w:val="false"/>
        <w:numPr>
          <w:ilvl w:val="0"/>
          <w:numId w:val="0"/>
        </w:numPr>
        <w:spacing w:lineRule="auto" w:line="240" w:before="0" w:after="180"/>
        <w:ind w:start="0" w:hanging="0" w:end="0"/>
        <w:outlineLvl w:val="1"/>
        <w:rPr>
          <w:sz w:val="24"/>
          <w:szCs w:val="24"/>
        </w:rPr>
      </w:pPr>
      <w:r>
        <w:rPr>
          <w:sz w:val="24"/>
          <w:szCs w:val="24"/>
          <w:u w:val="single"/>
        </w:rPr>
        <w:t>Ограничение участия только субъектов малого и среднего предпринимательства</w:t>
      </w:r>
      <w:r>
        <w:rPr>
          <w:sz w:val="24"/>
          <w:szCs w:val="24"/>
        </w:rPr>
        <w:t>: не установлено.</w:t>
      </w:r>
    </w:p>
    <w:tbl>
      <w:tblPr>
        <w:tblW w:w="9923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678"/>
        <w:gridCol w:w="5245"/>
      </w:tblGrid>
      <w:tr>
        <w:trPr>
          <w:trHeight w:val="62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Начальная цена закупки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ind w:hanging="0" w:end="0"/>
              <w:jc w:val="center"/>
              <w:rPr>
                <w:b/>
                <w:szCs w:val="24"/>
              </w:rPr>
            </w:pPr>
            <w:r>
              <w:rPr>
                <w:b/>
                <w:bCs/>
                <w:szCs w:val="24"/>
              </w:rPr>
              <w:t>Сроки выполнения работ</w:t>
            </w:r>
          </w:p>
        </w:tc>
      </w:tr>
      <w:tr>
        <w:trPr>
          <w:trHeight w:val="1040" w:hRule="atLeast"/>
        </w:trPr>
        <w:tc>
          <w:tcPr>
            <w:tcW w:w="467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WW-12"/>
              <w:keepNext w:val="true"/>
              <w:widowControl/>
              <w:tabs>
                <w:tab w:val="clear" w:pos="709"/>
                <w:tab w:val="left" w:pos="567" w:leader="none"/>
                <w:tab w:val="left" w:pos="900" w:leader="none"/>
              </w:tabs>
              <w:suppressAutoHyphens w:val="true"/>
              <w:spacing w:before="0" w:after="0"/>
              <w:ind w:hanging="0" w:end="0"/>
              <w:contextualSpacing/>
              <w:jc w:val="center"/>
              <w:rPr/>
            </w:pPr>
            <w:r>
              <w:rPr>
                <w:szCs w:val="24"/>
              </w:rPr>
              <w:t>262 266 423,05 руб., в т.ч. НДС 20%</w:t>
            </w:r>
          </w:p>
        </w:tc>
        <w:tc>
          <w:tcPr>
            <w:tcW w:w="52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>
                <w:szCs w:val="28"/>
              </w:rPr>
              <w:t>С даты подписания</w:t>
            </w:r>
            <w:r>
              <w:rPr/>
              <w:t xml:space="preserve"> договора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/>
              <w:t>по 01 августа 2027г.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/>
      </w:pPr>
      <w:r>
        <w:rPr>
          <w:rFonts w:cs="Times New Roman" w:ascii="Times New Roman" w:hAnsi="Times New Roman"/>
          <w:sz w:val="24"/>
          <w:szCs w:val="24"/>
        </w:rPr>
        <w:t>В очном заседании Комиссии принимали участие:</w:t>
      </w:r>
    </w:p>
    <w:p>
      <w:pPr>
        <w:pStyle w:val="Normal"/>
        <w:keepNext w:val="true"/>
        <w:spacing w:lineRule="auto" w:line="240"/>
        <w:ind w:hanging="0" w:end="0"/>
        <w:rPr/>
      </w:pPr>
      <w:r>
        <w:rPr>
          <w:b/>
          <w:bCs/>
          <w:sz w:val="24"/>
          <w:szCs w:val="24"/>
        </w:rPr>
        <w:t>Заместитель председателя Комиссии: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sz w:val="24"/>
          <w:szCs w:val="24"/>
        </w:rPr>
        <w:t>Старостина Я.О. – Директор департамента организации конкурсных процедур ПАО «Россети Московский регион»;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Члены Комиссии: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bCs/>
          <w:iCs/>
          <w:sz w:val="24"/>
          <w:szCs w:val="24"/>
        </w:rPr>
        <w:t>Богомолов Э.В. – Д</w:t>
      </w:r>
      <w:r>
        <w:rPr>
          <w:sz w:val="24"/>
          <w:szCs w:val="24"/>
        </w:rPr>
        <w:t>иректор департамента производственной безопасности ПАО «Россети Московский регион»</w:t>
      </w:r>
      <w:r>
        <w:rPr>
          <w:bCs/>
          <w:iCs/>
          <w:sz w:val="24"/>
          <w:szCs w:val="24"/>
        </w:rPr>
        <w:t>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Попко О.О. – Заместитель директора департамента корпоративных финансов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sz w:val="24"/>
          <w:szCs w:val="24"/>
        </w:rPr>
        <w:t>Голубев Д.В. – Начальник управления мониторинга рынка ТМЦ и расчетов с поставщиками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sz w:val="24"/>
          <w:szCs w:val="24"/>
        </w:rPr>
        <w:t xml:space="preserve">Мауль А.В. – Начальник управления </w:t>
      </w:r>
      <w:r>
        <w:rPr>
          <w:bCs/>
          <w:color w:val="000000"/>
          <w:sz w:val="24"/>
          <w:szCs w:val="24"/>
        </w:rPr>
        <w:t xml:space="preserve">нормативного регулирования и сопровождения договорной работы </w:t>
      </w:r>
      <w:r>
        <w:rPr>
          <w:sz w:val="24"/>
          <w:szCs w:val="24"/>
        </w:rPr>
        <w:t>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bCs/>
          <w:iCs/>
          <w:sz w:val="24"/>
          <w:szCs w:val="24"/>
        </w:rPr>
        <w:t>Муравьев Д.П. – Начальник управления</w:t>
      </w:r>
      <w:r>
        <w:rPr>
          <w:sz w:val="24"/>
          <w:szCs w:val="24"/>
        </w:rPr>
        <w:t xml:space="preserve"> комплектации оборудованием ПАО «Россети Московский регион»;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color w:val="000000"/>
          <w:sz w:val="24"/>
          <w:szCs w:val="24"/>
        </w:rPr>
        <w:t xml:space="preserve">Светличный Д.А. – Начальник управления </w:t>
      </w:r>
      <w:r>
        <w:rPr>
          <w:bCs/>
          <w:iCs/>
          <w:sz w:val="24"/>
          <w:szCs w:val="24"/>
        </w:rPr>
        <w:t>строительного</w:t>
      </w:r>
      <w:r>
        <w:rPr>
          <w:color w:val="000000"/>
          <w:sz w:val="24"/>
          <w:szCs w:val="24"/>
        </w:rPr>
        <w:t xml:space="preserve"> надзора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bCs/>
          <w:iCs/>
          <w:sz w:val="24"/>
          <w:szCs w:val="24"/>
        </w:rPr>
      </w:pPr>
      <w:r>
        <w:rPr>
          <w:color w:val="000000"/>
          <w:sz w:val="24"/>
          <w:szCs w:val="24"/>
        </w:rPr>
        <w:t xml:space="preserve">Зубков П.С. – </w:t>
      </w:r>
      <w:r>
        <w:rPr>
          <w:sz w:val="24"/>
          <w:szCs w:val="24"/>
        </w:rPr>
        <w:t>Главный эксперт контрольно-экспертного управления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</w:t>
      </w:r>
      <w:r>
        <w:rPr>
          <w:color w:val="000000"/>
          <w:sz w:val="24"/>
          <w:szCs w:val="24"/>
        </w:rPr>
        <w:t>;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Кремнёв А.С. – Главный эксперт управления общей правовой работы ПАО «</w:t>
      </w:r>
      <w:r>
        <w:rPr>
          <w:bCs/>
          <w:sz w:val="24"/>
          <w:szCs w:val="24"/>
        </w:rPr>
        <w:t>Россети Московский регион</w:t>
      </w:r>
      <w:r>
        <w:rPr>
          <w:color w:val="000000"/>
          <w:sz w:val="24"/>
          <w:szCs w:val="24"/>
        </w:rPr>
        <w:t>»;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Секретарь Комиссии (с правом голоса): 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 К.В. – Начальник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СЛУШАЛИ:</w:t>
      </w:r>
    </w:p>
    <w:p>
      <w:pPr>
        <w:pStyle w:val="Normal"/>
        <w:widowControl w:val="fals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Гусева К.В. – Начальника управления организации конкурсных закупок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Заочное голосование по опросным листам:</w:t>
      </w:r>
    </w:p>
    <w:p>
      <w:pPr>
        <w:pStyle w:val="Normal"/>
        <w:spacing w:lineRule="auto" w:line="240"/>
        <w:ind w:hanging="0" w:end="152"/>
        <w:rPr>
          <w:sz w:val="24"/>
          <w:szCs w:val="24"/>
        </w:rPr>
      </w:pPr>
      <w:r>
        <w:rPr>
          <w:b/>
          <w:bCs/>
          <w:sz w:val="24"/>
          <w:szCs w:val="24"/>
        </w:rPr>
        <w:t>Член Комиссии:</w:t>
      </w:r>
    </w:p>
    <w:p>
      <w:pPr>
        <w:pStyle w:val="Normal"/>
        <w:widowControl w:val="false"/>
        <w:spacing w:lineRule="auto" w:line="240" w:before="0" w:after="0"/>
        <w:ind w:hanging="0" w:end="0"/>
        <w:contextualSpacing/>
        <w:rPr/>
      </w:pPr>
      <w:r>
        <w:rPr>
          <w:sz w:val="24"/>
          <w:szCs w:val="24"/>
        </w:rPr>
        <w:t>Омельяненко А.А. – Начальник управления материально-технического снабжения ПАО 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».</w:t>
      </w:r>
    </w:p>
    <w:p>
      <w:pPr>
        <w:pStyle w:val="Normal"/>
        <w:widowControl w:val="false"/>
        <w:spacing w:lineRule="auto" w:line="240"/>
        <w:ind w:hanging="0" w:end="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</w:rPr>
        <w:t>В заседании приняли участие 11 из 19 членов Комиссии.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24"/>
          <w:szCs w:val="24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24"/>
          <w:szCs w:val="24"/>
        </w:rPr>
        <w:t>Кворум имеется.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uppressAutoHyphens w:val="false"/>
        <w:spacing w:before="0" w:after="0"/>
        <w:ind w:hanging="0" w:start="0"/>
        <w:rPr>
          <w:rFonts w:ascii="Times New Roman" w:hAnsi="Times New Roman" w:cs="Times New Roman"/>
          <w:bCs w:val="false"/>
          <w:color w:val="000000"/>
          <w:kern w:val="0"/>
          <w:sz w:val="18"/>
          <w:szCs w:val="18"/>
          <w:lang w:val="en-US"/>
        </w:rPr>
      </w:pPr>
      <w:r>
        <w:rPr>
          <w:rFonts w:cs="Times New Roman" w:ascii="Times New Roman" w:hAnsi="Times New Roman"/>
          <w:bCs w:val="false"/>
          <w:color w:val="000000"/>
          <w:kern w:val="0"/>
          <w:sz w:val="18"/>
          <w:szCs w:val="18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bookmarkStart w:id="0" w:name="Комиссия"/>
      <w:bookmarkEnd w:id="0"/>
      <w:r>
        <w:rPr>
          <w:rFonts w:cs="Times New Roman" w:ascii="Times New Roman" w:hAnsi="Times New Roman"/>
          <w:sz w:val="23"/>
          <w:szCs w:val="23"/>
        </w:rPr>
        <w:t>ПОСТУПИВШИЕ ЗАЯВКИ: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180"/>
        <w:ind w:hanging="0" w:start="0"/>
        <w:rPr>
          <w:rFonts w:ascii="Times New Roman" w:hAnsi="Times New Roman" w:cs="Times New Roman"/>
          <w:b w:val="false"/>
          <w:sz w:val="24"/>
          <w:szCs w:val="24"/>
        </w:rPr>
      </w:pPr>
      <w:r>
        <w:rPr>
          <w:rFonts w:cs="Times New Roman" w:ascii="Times New Roman" w:hAnsi="Times New Roman"/>
          <w:b w:val="false"/>
          <w:sz w:val="24"/>
          <w:szCs w:val="24"/>
        </w:rPr>
        <w:t>К установленному сроку подачи заявок поступили следующие заявки:</w:t>
      </w:r>
    </w:p>
    <w:tbl>
      <w:tblPr>
        <w:tblW w:w="1008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93"/>
        <w:gridCol w:w="5103"/>
        <w:gridCol w:w="3989"/>
      </w:tblGrid>
      <w:tr>
        <w:trPr/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spacing w:lineRule="auto" w:line="240" w:before="0" w:after="0"/>
              <w:ind w:hanging="0" w:start="0" w:end="0"/>
              <w:contextualSpacing w:val="fals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№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b/>
                <w:sz w:val="24"/>
                <w:szCs w:val="24"/>
              </w:rPr>
              <w:t>Наименование Участника и его адрес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6"/>
              <w:widowControl w:val="false"/>
              <w:spacing w:lineRule="auto" w:line="240" w:before="0" w:after="0"/>
              <w:ind w:hanging="0" w:start="0" w:end="0"/>
              <w:contextualSpacing w:val="false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Дата и время подачи (мск. время)</w:t>
            </w:r>
          </w:p>
        </w:tc>
      </w:tr>
      <w:tr>
        <w:trPr>
          <w:trHeight w:val="1179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center"/>
              <w:rPr>
                <w:rFonts w:ascii="Times New Roman" w:hAnsi="Times New Roman" w:cs="Times New Roman"/>
                <w:b w:val="false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4"/>
              </w:rPr>
              <w:t>1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ООО «СК СИСТЕМА» (140070, Московская обл., г.о. Люберцы, пгт. Томилино, ул. Гаршина, д.11, помещ. 11)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04.12.2025  09:14:59</w:t>
            </w:r>
          </w:p>
        </w:tc>
      </w:tr>
      <w:tr>
        <w:trPr>
          <w:trHeight w:val="1254" w:hRule="atLeast"/>
        </w:trPr>
        <w:tc>
          <w:tcPr>
            <w:tcW w:w="9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center"/>
              <w:rPr>
                <w:rFonts w:ascii="Times New Roman" w:hAnsi="Times New Roman" w:cs="Times New Roman"/>
                <w:b w:val="false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b w:val="false"/>
                <w:sz w:val="24"/>
                <w:szCs w:val="24"/>
              </w:rPr>
              <w:t>2</w:t>
            </w:r>
          </w:p>
        </w:tc>
        <w:tc>
          <w:tcPr>
            <w:tcW w:w="51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ООО «ЭнергоСеть» (119435, г. Москва, ул. Малая Пироговская, д. 18, стр. 1, пом. XI - ком. 19)</w:t>
            </w:r>
          </w:p>
        </w:tc>
        <w:tc>
          <w:tcPr>
            <w:tcW w:w="398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04.12.2025  10:54:01</w:t>
            </w:r>
          </w:p>
        </w:tc>
      </w:tr>
      <w:tr>
        <w:trPr/>
        <w:tc>
          <w:tcPr>
            <w:tcW w:w="1008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12"/>
              <w:keepNext w:val="false"/>
              <w:keepLines w:val="false"/>
              <w:widowControl w:val="false"/>
              <w:numPr>
                <w:ilvl w:val="0"/>
                <w:numId w:val="0"/>
              </w:numPr>
              <w:spacing w:before="120" w:after="0"/>
              <w:ind w:hanging="0" w:start="0"/>
              <w:jc w:val="star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Всего поступило 2 заявки</w:t>
            </w:r>
          </w:p>
        </w:tc>
      </w:tr>
    </w:tbl>
    <w:p>
      <w:pPr>
        <w:pStyle w:val="12"/>
        <w:keepNext w:val="false"/>
        <w:keepLines w:val="false"/>
        <w:widowControl w:val="false"/>
        <w:numPr>
          <w:ilvl w:val="0"/>
          <w:numId w:val="0"/>
        </w:numPr>
        <w:spacing w:before="120" w:after="0"/>
        <w:ind w:hanging="0" w:start="0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ВОПРОСЫ КОМИССИИ: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ранжировании заявок Участников</w:t>
      </w:r>
    </w:p>
    <w:p>
      <w:pPr>
        <w:pStyle w:val="12"/>
        <w:keepNext w:val="false"/>
        <w:keepLines w:val="false"/>
        <w:widowControl w:val="false"/>
        <w:numPr>
          <w:ilvl w:val="0"/>
          <w:numId w:val="2"/>
        </w:numPr>
        <w:tabs>
          <w:tab w:val="clear" w:pos="709"/>
          <w:tab w:val="left" w:pos="284" w:leader="none"/>
        </w:tabs>
        <w:spacing w:before="0" w:after="0"/>
        <w:ind w:hanging="0" w:start="0" w:end="0"/>
        <w:outlineLvl w:val="2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О подведении итогов по закупке</w:t>
      </w:r>
    </w:p>
    <w:p>
      <w:pPr>
        <w:pStyle w:val="12"/>
        <w:keepNext w:val="false"/>
        <w:keepLines w:val="false"/>
        <w:widowControl w:val="false"/>
        <w:numPr>
          <w:ilvl w:val="0"/>
          <w:numId w:val="0"/>
        </w:numPr>
        <w:tabs>
          <w:tab w:val="clear" w:pos="709"/>
          <w:tab w:val="left" w:pos="284" w:leader="none"/>
        </w:tabs>
        <w:spacing w:before="120" w:after="0"/>
        <w:ind w:hanging="0" w:start="0"/>
        <w:outlineLvl w:val="2"/>
        <w:rPr>
          <w:rFonts w:ascii="Times New Roman" w:hAnsi="Times New Roman" w:cs="Times New Roman"/>
          <w:sz w:val="12"/>
          <w:szCs w:val="12"/>
        </w:rPr>
      </w:pPr>
      <w:r>
        <w:rPr>
          <w:rFonts w:cs="Times New Roman" w:ascii="Times New Roman" w:hAnsi="Times New Roman"/>
          <w:sz w:val="12"/>
          <w:szCs w:val="1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РЕШИЛИ:</w:t>
      </w:r>
    </w:p>
    <w:p>
      <w:pPr>
        <w:pStyle w:val="Style26"/>
        <w:widowControl w:val="false"/>
        <w:numPr>
          <w:ilvl w:val="0"/>
          <w:numId w:val="3"/>
        </w:numPr>
        <w:tabs>
          <w:tab w:val="clear" w:pos="709"/>
          <w:tab w:val="left" w:pos="567" w:leader="none"/>
        </w:tabs>
        <w:spacing w:lineRule="auto" w:line="240" w:before="0" w:after="0"/>
        <w:ind w:hanging="0" w:start="0" w:end="2"/>
        <w:contextualSpacing w:val="false"/>
        <w:rPr>
          <w:sz w:val="24"/>
          <w:szCs w:val="24"/>
        </w:rPr>
      </w:pPr>
      <w:r>
        <w:rPr>
          <w:sz w:val="24"/>
          <w:szCs w:val="24"/>
        </w:rPr>
        <w:t>По итогам рассмотрения основных ценовых предложений, а также ценовых предложений, полученных в результате проведения процедуры переторжки, направленных оператором ЭТП, ранжировать заявки Участников, допущенные ранее к рассмотрению, следующим образом:</w:t>
      </w:r>
    </w:p>
    <w:tbl>
      <w:tblPr>
        <w:tblW w:w="49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102"/>
        <w:gridCol w:w="2890"/>
        <w:gridCol w:w="1791"/>
        <w:gridCol w:w="1791"/>
        <w:gridCol w:w="2203"/>
      </w:tblGrid>
      <w:tr>
        <w:trPr>
          <w:tblHeader w:val="true"/>
          <w:trHeight w:val="847" w:hRule="atLeast"/>
        </w:trPr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Место в ранжире</w:t>
            </w:r>
          </w:p>
        </w:tc>
        <w:tc>
          <w:tcPr>
            <w:tcW w:w="2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Наименование Участника 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 его адрес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/>
            </w:pPr>
            <w:r>
              <w:rPr>
                <w:b/>
                <w:sz w:val="22"/>
                <w:szCs w:val="22"/>
              </w:rPr>
              <w:t>Стоимость заявки,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руб. с НДС 20%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/>
            </w:pPr>
            <w:r>
              <w:rPr>
                <w:b/>
                <w:sz w:val="22"/>
                <w:szCs w:val="22"/>
              </w:rPr>
              <w:t>Стоимость заявки после переторжки,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руб. с НДС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Сроки 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выполнения работ</w:t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rHeight w:val="1515" w:hRule="atLeast"/>
        </w:trPr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«СК СИСТЕМА» (140070, Московская обл., г.о. Люберцы, пгт. Томилино, ул. Гаршина, д.11, помещ. 11)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vanish/>
                <w:sz w:val="22"/>
                <w:szCs w:val="22"/>
              </w:rPr>
            </w:pPr>
            <w:r>
              <w:rPr>
                <w:sz w:val="22"/>
                <w:szCs w:val="22"/>
              </w:rPr>
              <w:t>262 004 156,63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 участвовали в переторжке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/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</w:tr>
      <w:tr>
        <w:trPr>
          <w:trHeight w:val="1550" w:hRule="atLeast"/>
        </w:trPr>
        <w:tc>
          <w:tcPr>
            <w:tcW w:w="11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8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«ЭнергоСеть» (119435, г. Москва, ул. Малая Пироговская, д. 18, стр. 1, пом. XI - ком. 19)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vanish/>
                <w:sz w:val="22"/>
                <w:szCs w:val="22"/>
              </w:rPr>
            </w:pPr>
            <w:r>
              <w:rPr>
                <w:sz w:val="22"/>
                <w:szCs w:val="22"/>
              </w:rPr>
              <w:t>262 266 423,05</w:t>
            </w:r>
          </w:p>
        </w:tc>
        <w:tc>
          <w:tcPr>
            <w:tcW w:w="179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Не участвовали в переторжке</w:t>
            </w:r>
          </w:p>
        </w:tc>
        <w:tc>
          <w:tcPr>
            <w:tcW w:w="220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соответствии с требованиями ТЗ на проведение закупки</w:t>
            </w:r>
          </w:p>
        </w:tc>
      </w:tr>
    </w:tbl>
    <w:p>
      <w:pPr>
        <w:pStyle w:val="Style27"/>
        <w:widowControl w:val="false"/>
        <w:tabs>
          <w:tab w:val="clear" w:pos="1701"/>
          <w:tab w:val="left" w:pos="993" w:leader="none"/>
        </w:tabs>
        <w:spacing w:lineRule="auto" w:line="276"/>
        <w:ind w:hanging="0" w:start="567" w:end="0"/>
        <w:jc w:val="start"/>
        <w:rPr>
          <w:sz w:val="24"/>
          <w:szCs w:val="24"/>
          <w:lang w:val="ru-RU"/>
        </w:rPr>
      </w:pPr>
      <w:r>
        <w:rPr>
          <w:sz w:val="24"/>
          <w:szCs w:val="24"/>
        </w:rPr>
        <w:t>Наивысшее место в итоговой ранжировке получает заявка, имеющая наименьшую цену.</w:t>
      </w:r>
    </w:p>
    <w:p>
      <w:pPr>
        <w:pStyle w:val="Style27"/>
        <w:widowControl w:val="false"/>
        <w:tabs>
          <w:tab w:val="clear" w:pos="1701"/>
          <w:tab w:val="left" w:pos="993" w:leader="none"/>
        </w:tabs>
        <w:spacing w:lineRule="auto" w:line="276"/>
        <w:ind w:hanging="0" w:start="567" w:end="0"/>
        <w:jc w:val="star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567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Признать Победителем закупки ООО «СК СИСТЕМА» (140070, Московская обл., г.о. Люберцы, пгт. Томилино, ул. Гаршина, д.11, помещ. 11) на следующих условиях:</w:t>
      </w:r>
      <w:bookmarkStart w:id="1" w:name="СписокУчастников"/>
      <w:bookmarkEnd w:id="1"/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27"/>
        <w:gridCol w:w="3118"/>
        <w:gridCol w:w="4820"/>
      </w:tblGrid>
      <w:tr>
        <w:trPr>
          <w:tblHeader w:val="true"/>
          <w:trHeight w:val="590" w:hRule="atLeast"/>
        </w:trPr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заявки, руб. с НДС 20%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rHeight w:val="672" w:hRule="atLeast"/>
        </w:trPr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262 004 156,63</w:t>
            </w:r>
          </w:p>
        </w:tc>
        <w:tc>
          <w:tcPr>
            <w:tcW w:w="31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С даты подписания 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договора по 01 августа 2027г.</w:t>
            </w:r>
          </w:p>
        </w:tc>
        <w:tc>
          <w:tcPr>
            <w:tcW w:w="48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В течение 30 рабочих дней после подписания Акта приемки выполненных работ и(или) форм КС-2 и КС-3</w:t>
            </w:r>
          </w:p>
        </w:tc>
      </w:tr>
    </w:tbl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МКС - филиалу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 xml:space="preserve">» заключить договор с ООО «СК СИСТЕМА» (140070, Московская обл., г.о. Люберцы, пгт. Томилино, ул. Гаршина, д.11, помещ. 11) на </w:t>
      </w:r>
      <w:r>
        <w:rPr>
          <w:bCs/>
          <w:sz w:val="24"/>
          <w:szCs w:val="24"/>
        </w:rPr>
        <w:t>выполнение</w:t>
      </w:r>
      <w:r>
        <w:rPr>
          <w:sz w:val="24"/>
          <w:szCs w:val="24"/>
        </w:rPr>
        <w:t xml:space="preserve"> ПИР, СМР, ПНР, материалы, оборудование по титулу: Строительство РП-10кВ с установкой 12 ячеек, 2КЛ-10кВ от сооруж. РП-10кВ до РП-10кВ № 394 Бирюлево (сооружается по договору № ИА-21-302-8997(906995), сооруж. ТП-10/0,4кВ, в т.ч. ПИР: г.Москва, ул.Бакинская, влад.32 для нужд МКС </w:t>
      </w:r>
      <w:r>
        <w:rPr>
          <w:bCs/>
          <w:sz w:val="24"/>
          <w:szCs w:val="24"/>
        </w:rPr>
        <w:t>– филиала ПАО «Россети Московский регион»</w:t>
      </w:r>
      <w:r>
        <w:rPr>
          <w:sz w:val="24"/>
          <w:szCs w:val="24"/>
        </w:rPr>
        <w:t xml:space="preserve"> </w:t>
      </w:r>
      <w:r>
        <w:rPr/>
        <w:t>на следующих условиях:</w:t>
      </w:r>
    </w:p>
    <w:tbl>
      <w:tblPr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01"/>
        <w:gridCol w:w="2410"/>
        <w:gridCol w:w="2552"/>
        <w:gridCol w:w="3402"/>
      </w:tblGrid>
      <w:tr>
        <w:trPr>
          <w:tblHeader w:val="true"/>
          <w:trHeight w:val="652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Стоимость договора, руб. с НДС 20%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tabs>
                <w:tab w:val="clear" w:pos="709"/>
                <w:tab w:val="left" w:pos="922" w:leader="none"/>
              </w:tabs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Объем работ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Срок выполнения работ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Условия оплаты</w:t>
            </w:r>
          </w:p>
        </w:tc>
      </w:tr>
      <w:tr>
        <w:trPr>
          <w:trHeight w:val="907" w:hRule="atLeast"/>
        </w:trPr>
        <w:tc>
          <w:tcPr>
            <w:tcW w:w="170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40"/>
              <w:ind w:hanging="0" w:end="0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262 004 156,63</w:t>
            </w:r>
          </w:p>
        </w:tc>
        <w:tc>
          <w:tcPr>
            <w:tcW w:w="24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end="-159"/>
              <w:jc w:val="center"/>
              <w:rPr/>
            </w:pPr>
            <w:r>
              <w:rPr>
                <w:sz w:val="22"/>
                <w:szCs w:val="22"/>
              </w:rPr>
              <w:t>В соответствии с ТЗ (приложение 4 к Извещению о закупке)</w:t>
            </w:r>
          </w:p>
        </w:tc>
        <w:tc>
          <w:tcPr>
            <w:tcW w:w="25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/>
            </w:pPr>
            <w:r>
              <w:rPr>
                <w:sz w:val="22"/>
                <w:szCs w:val="22"/>
              </w:rPr>
              <w:t xml:space="preserve">С даты подписания 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договора по 01 августа</w:t>
            </w:r>
          </w:p>
          <w:p>
            <w:pPr>
              <w:pStyle w:val="5"/>
              <w:tabs>
                <w:tab w:val="clear" w:pos="709"/>
                <w:tab w:val="left" w:pos="567" w:leader="none"/>
                <w:tab w:val="left" w:pos="900" w:leader="none"/>
              </w:tabs>
              <w:ind w:hanging="0" w:start="-60" w:end="-159"/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2027г.</w:t>
            </w:r>
          </w:p>
        </w:tc>
        <w:tc>
          <w:tcPr>
            <w:tcW w:w="34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2"/>
                <w:szCs w:val="22"/>
                <w:u w:val="single"/>
              </w:rPr>
            </w:pPr>
            <w:r>
              <w:rPr>
                <w:sz w:val="22"/>
                <w:szCs w:val="22"/>
              </w:rPr>
              <w:t>В течение 30 рабочих дней после подписания Акта приемки выполненных работ и(или) форм КС-2 и КС-3</w:t>
            </w:r>
          </w:p>
        </w:tc>
      </w:tr>
    </w:tbl>
    <w:p>
      <w:pPr>
        <w:pStyle w:val="Style26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b/>
          <w:sz w:val="6"/>
          <w:szCs w:val="6"/>
        </w:rPr>
      </w:pPr>
      <w:r>
        <w:rPr>
          <w:b/>
          <w:sz w:val="6"/>
          <w:szCs w:val="6"/>
        </w:rPr>
      </w:r>
    </w:p>
    <w:p>
      <w:pPr>
        <w:pStyle w:val="Style26"/>
        <w:widowControl w:val="false"/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b/>
          <w:sz w:val="24"/>
          <w:szCs w:val="24"/>
        </w:rPr>
      </w:pPr>
      <w:r>
        <w:rPr>
          <w:b/>
          <w:sz w:val="24"/>
          <w:szCs w:val="24"/>
        </w:rPr>
        <w:t>Код случая заключения договора по ПП РФ от 27.05.2021 № 814 – 210</w:t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Победителю закупки ООО «СК СИСТЕМА» (140070, Московская обл., г.о. Люберцы, пгт. Томилино, ул. Гаршина, д.11, помещ. 11) предоставить Заказчику финансовое обеспечение исполнения обязательств по договору в соответствии с порядком, предусмотренным проектом договора, и с учетом условий, указанных в Приложении №1 к настоящему протоколу.</w:t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>В случае необходимости предварительного одобрения Советом директоров ПАО «</w:t>
      </w:r>
      <w:r>
        <w:rPr>
          <w:bCs/>
          <w:sz w:val="24"/>
          <w:szCs w:val="24"/>
        </w:rPr>
        <w:t>Россети Московский регион</w:t>
      </w:r>
      <w:r>
        <w:rPr>
          <w:sz w:val="24"/>
          <w:szCs w:val="24"/>
        </w:rPr>
        <w:t>» договора как сделки, в совершении которой имеется заинтересованность, куратору договора обеспечить вынесение на рассмотрение Совета директоров вопроса об одобрении договора до его заключения.</w:t>
      </w:r>
    </w:p>
    <w:p>
      <w:pPr>
        <w:pStyle w:val="Style26"/>
        <w:widowControl w:val="false"/>
        <w:numPr>
          <w:ilvl w:val="1"/>
          <w:numId w:val="2"/>
        </w:numPr>
        <w:tabs>
          <w:tab w:val="clear" w:pos="709"/>
          <w:tab w:val="left" w:pos="0" w:leader="none"/>
        </w:tabs>
        <w:spacing w:lineRule="auto" w:line="240" w:before="0" w:after="0"/>
        <w:ind w:hanging="0" w:start="0" w:end="0"/>
        <w:contextualSpacing w:val="false"/>
        <w:rPr>
          <w:sz w:val="24"/>
          <w:szCs w:val="24"/>
        </w:rPr>
      </w:pPr>
      <w:r>
        <w:rPr>
          <w:sz w:val="24"/>
          <w:szCs w:val="24"/>
        </w:rPr>
        <w:t xml:space="preserve">Договор заключается в сроки, не противоречащие нормам действующего законодательства, при этом максимальный срок заключения договора не может составлять более 20 (двадцати) рабочих дней </w:t>
      </w:r>
      <w:r>
        <w:rPr>
          <w:bCs/>
          <w:sz w:val="24"/>
          <w:szCs w:val="24"/>
        </w:rPr>
        <w:t>с даты размещения в ЕИС итогового протокола, составленного по результатам закупки</w:t>
      </w:r>
      <w:r>
        <w:rPr>
          <w:sz w:val="24"/>
          <w:szCs w:val="24"/>
        </w:rPr>
        <w:t>. В случае необходимости одобрения органом управления Заказчика в соответствии с законодательством Российской Федерации заключения договора или в случае обжалования в антимонопольном органе либо в судебном порядке действий (бездействия) Заказчика, Закупочной комиссии, оператора электронной площадки договор должен быть заключен в срок не позднее 20 (двадцати) рабочих дней с момента принятия соответствующего решения (одобрения, вынесения решения по жалобе, иску).</w:t>
      </w:r>
    </w:p>
    <w:p>
      <w:pPr>
        <w:pStyle w:val="21"/>
        <w:keepNext w:val="true"/>
        <w:spacing w:before="0" w:after="0"/>
        <w:ind w:start="0" w:end="-153"/>
        <w:contextualSpacing/>
        <w:jc w:val="start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21"/>
        <w:keepNext w:val="true"/>
        <w:spacing w:before="0" w:after="0"/>
        <w:ind w:start="0" w:end="-153"/>
        <w:contextualSpacing/>
        <w:jc w:val="start"/>
        <w:rPr>
          <w:szCs w:val="24"/>
        </w:rPr>
      </w:pPr>
      <w:r>
        <w:rPr>
          <w:szCs w:val="24"/>
        </w:rPr>
        <w:t>Приложение: Условия выбора финансового обеспечения – на 1 л.</w:t>
      </w:r>
    </w:p>
    <w:p>
      <w:pPr>
        <w:pStyle w:val="21"/>
        <w:keepNext w:val="true"/>
        <w:spacing w:before="0" w:after="0"/>
        <w:ind w:start="0" w:end="-153"/>
        <w:contextualSpacing/>
        <w:jc w:val="start"/>
        <w:rPr>
          <w:sz w:val="12"/>
          <w:szCs w:val="12"/>
        </w:rPr>
      </w:pPr>
      <w:r>
        <w:rPr>
          <w:sz w:val="12"/>
          <w:szCs w:val="12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120" w:after="0"/>
        <w:ind w:hanging="567" w:start="567" w:end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РЕЗУЛЬТАТЫ ГОЛОСОВАНИЯ</w:t>
      </w:r>
      <w:r>
        <w:rPr>
          <w:rFonts w:cs="Times New Roman" w:ascii="Times New Roman" w:hAnsi="Times New Roman"/>
          <w:sz w:val="23"/>
          <w:szCs w:val="23"/>
        </w:rPr>
        <w:t xml:space="preserve"> (в соответствии с опросными листами)</w:t>
      </w:r>
      <w:r>
        <w:rPr>
          <w:rFonts w:cs="Times New Roman" w:ascii="Times New Roman" w:hAnsi="Times New Roman"/>
          <w:sz w:val="24"/>
          <w:szCs w:val="24"/>
        </w:rPr>
        <w:t>:</w:t>
      </w:r>
    </w:p>
    <w:p>
      <w:pPr>
        <w:pStyle w:val="Normal"/>
        <w:widowControl w:val="false"/>
        <w:suppressAutoHyphens w:val="true"/>
        <w:spacing w:lineRule="auto" w:line="240" w:before="120" w:after="0"/>
        <w:ind w:hanging="0" w:end="0"/>
        <w:rPr>
          <w:sz w:val="24"/>
          <w:szCs w:val="24"/>
        </w:rPr>
      </w:pPr>
      <w:r>
        <w:rPr>
          <w:sz w:val="24"/>
          <w:szCs w:val="24"/>
        </w:rPr>
        <w:t xml:space="preserve">«За» - </w:t>
      </w:r>
      <w:bookmarkStart w:id="2" w:name="КоличествоЧленов"/>
      <w:bookmarkEnd w:id="2"/>
      <w:r>
        <w:rPr>
          <w:sz w:val="24"/>
          <w:szCs w:val="24"/>
        </w:rPr>
        <w:t>11 (одиннадцать</w:t>
      </w:r>
      <w:r>
        <w:rPr>
          <w:color w:val="000000"/>
          <w:sz w:val="24"/>
          <w:szCs w:val="24"/>
        </w:rPr>
        <w:t xml:space="preserve">) </w:t>
      </w:r>
      <w:r>
        <w:rPr>
          <w:sz w:val="24"/>
          <w:szCs w:val="24"/>
        </w:rPr>
        <w:t>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/>
      </w:pPr>
      <w:r>
        <w:rPr>
          <w:sz w:val="24"/>
          <w:szCs w:val="24"/>
        </w:rPr>
        <w:t>«Против»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>
          <w:sz w:val="24"/>
          <w:szCs w:val="24"/>
        </w:rPr>
      </w:pPr>
      <w:r>
        <w:rPr>
          <w:sz w:val="24"/>
          <w:szCs w:val="24"/>
        </w:rPr>
        <w:t>«Воздержалось» - 0 (ноль) членов Комиссии.</w:t>
      </w:r>
    </w:p>
    <w:p>
      <w:pPr>
        <w:pStyle w:val="Normal"/>
        <w:widowControl w:val="false"/>
        <w:suppressAutoHyphens w:val="true"/>
        <w:spacing w:lineRule="auto" w:line="240"/>
        <w:ind w:hanging="0" w:end="0"/>
        <w:rPr>
          <w:b/>
          <w:sz w:val="24"/>
          <w:szCs w:val="24"/>
        </w:rPr>
      </w:pPr>
      <w:r>
        <w:rPr>
          <w:b/>
          <w:sz w:val="24"/>
          <w:szCs w:val="24"/>
        </w:rPr>
        <w:t>Решение принято единогласно.</w:t>
      </w:r>
    </w:p>
    <w:p>
      <w:pPr>
        <w:pStyle w:val="Normal"/>
        <w:widowControl w:val="false"/>
        <w:suppressAutoHyphens w:val="true"/>
        <w:spacing w:lineRule="auto" w:line="276"/>
        <w:ind w:hanging="0" w:end="0"/>
        <w:rPr>
          <w:b/>
          <w:sz w:val="12"/>
          <w:szCs w:val="12"/>
          <w:lang w:val="en-US"/>
        </w:rPr>
      </w:pPr>
      <w:r>
        <w:rPr>
          <w:b/>
          <w:sz w:val="12"/>
          <w:szCs w:val="12"/>
          <w:lang w:val="en-US"/>
        </w:rPr>
      </w:r>
    </w:p>
    <w:p>
      <w:pPr>
        <w:pStyle w:val="12"/>
        <w:keepNext w:val="false"/>
        <w:keepLines w:val="false"/>
        <w:widowControl w:val="false"/>
        <w:numPr>
          <w:ilvl w:val="0"/>
          <w:numId w:val="5"/>
        </w:numPr>
        <w:spacing w:before="0" w:after="0"/>
        <w:ind w:hanging="567" w:start="567" w:end="0"/>
        <w:rPr>
          <w:rFonts w:ascii="Times New Roman" w:hAnsi="Times New Roman" w:cs="Times New Roman"/>
          <w:sz w:val="23"/>
          <w:szCs w:val="23"/>
        </w:rPr>
      </w:pPr>
      <w:r>
        <w:rPr>
          <w:rFonts w:cs="Times New Roman" w:ascii="Times New Roman" w:hAnsi="Times New Roman"/>
          <w:sz w:val="23"/>
          <w:szCs w:val="23"/>
        </w:rPr>
        <w:t>ПОДПИСИ:</w:t>
      </w:r>
    </w:p>
    <w:tbl>
      <w:tblPr>
        <w:tblpPr w:vertAnchor="text" w:horzAnchor="margin" w:leftFromText="180" w:rightFromText="180" w:tblpX="113" w:tblpY="278"/>
        <w:tblW w:w="10065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951"/>
        <w:gridCol w:w="1985"/>
        <w:gridCol w:w="1984"/>
        <w:gridCol w:w="4145"/>
      </w:tblGrid>
      <w:tr>
        <w:trPr>
          <w:trHeight w:val="990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/>
            </w:pPr>
            <w:r>
              <w:rPr>
                <w:sz w:val="24"/>
                <w:szCs w:val="24"/>
              </w:rPr>
              <w:t>Заместитель Председателя</w:t>
            </w:r>
            <w:r>
              <w:rPr>
                <w:bCs/>
                <w:sz w:val="24"/>
                <w:szCs w:val="24"/>
              </w:rPr>
              <w:t xml:space="preserve"> К</w:t>
            </w:r>
            <w:r>
              <w:rPr>
                <w:sz w:val="24"/>
                <w:szCs w:val="24"/>
              </w:rPr>
              <w:t>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Старостина Я.О.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Директор департамента организации конкурсных процедур </w:t>
            </w:r>
            <w:r>
              <w:rPr>
                <w:bCs/>
                <w:sz w:val="24"/>
                <w:szCs w:val="24"/>
              </w:rPr>
              <w:t>ПАО «Россети Московский регион»</w:t>
            </w:r>
          </w:p>
        </w:tc>
      </w:tr>
      <w:tr>
        <w:trPr>
          <w:trHeight w:val="970" w:hRule="atLeast"/>
        </w:trPr>
        <w:tc>
          <w:tcPr>
            <w:tcW w:w="19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Секретарь Комиссии</w:t>
            </w:r>
          </w:p>
        </w:tc>
        <w:tc>
          <w:tcPr>
            <w:tcW w:w="198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uppressAutoHyphens w:val="true"/>
              <w:snapToGrid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Normal"/>
              <w:widowControl w:val="false"/>
              <w:suppressAutoHyphens w:val="tru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center"/>
              <w:rPr/>
            </w:pPr>
            <w:r>
              <w:rPr>
                <w:sz w:val="24"/>
                <w:szCs w:val="24"/>
              </w:rPr>
              <w:t>Гусев К.В.</w:t>
            </w:r>
          </w:p>
        </w:tc>
        <w:tc>
          <w:tcPr>
            <w:tcW w:w="41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widowControl w:val="false"/>
              <w:spacing w:lineRule="auto" w:line="240"/>
              <w:ind w:hanging="0" w:end="0"/>
              <w:jc w:val="start"/>
              <w:rPr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Начальник управления организации конкурсных закупок ПАО «Россети Московский регион»</w:t>
            </w:r>
          </w:p>
        </w:tc>
      </w:tr>
    </w:tbl>
    <w:p>
      <w:pPr>
        <w:pStyle w:val="Normal"/>
        <w:widowControl w:val="false"/>
        <w:suppressAutoHyphens w:val="true"/>
        <w:spacing w:lineRule="auto" w:line="240"/>
        <w:ind w:hanging="0" w:end="0"/>
        <w:rPr>
          <w:bCs/>
          <w:sz w:val="4"/>
          <w:szCs w:val="4"/>
        </w:rPr>
      </w:pPr>
      <w:r>
        <w:rPr>
          <w:bCs/>
          <w:sz w:val="4"/>
          <w:szCs w:val="4"/>
        </w:rPr>
      </w:r>
    </w:p>
    <w:p>
      <w:pPr>
        <w:pStyle w:val="Normal"/>
        <w:widowControl w:val="false"/>
        <w:spacing w:lineRule="auto" w:line="240"/>
        <w:ind w:hanging="0" w:end="0"/>
        <w:rPr/>
      </w:pPr>
      <w:r>
        <w:rPr>
          <w:i/>
          <w:color w:val="000000"/>
          <w:sz w:val="22"/>
          <w:szCs w:val="22"/>
        </w:rPr>
        <w:t xml:space="preserve">Огородникова Е.А.   </w:t>
      </w:r>
      <w:r>
        <w:rPr>
          <w:i/>
          <w:sz w:val="22"/>
          <w:szCs w:val="22"/>
        </w:rPr>
        <w:t>+7 (495) 662-40-70  (вн. 47-73)</w:t>
      </w:r>
    </w:p>
    <w:sectPr>
      <w:footerReference w:type="default" r:id="rId3"/>
      <w:type w:val="nextPage"/>
      <w:pgSz w:w="11906" w:h="16838"/>
      <w:pgMar w:left="1080" w:right="849" w:gutter="0" w:header="0" w:top="426" w:footer="321" w:bottom="70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Протокол №РМР/5654</w:t>
    </w:r>
    <w:r>
      <mc:AlternateContent>
        <mc:Choice Requires="wps">
          <w:drawing>
            <wp:anchor behindDoc="0" distT="0" distB="0" distL="0" distR="0" simplePos="0" locked="0" layoutInCell="0" allowOverlap="1" relativeHeight="6">
              <wp:simplePos x="0" y="0"/>
              <wp:positionH relativeFrom="page">
                <wp:posOffset>6915785</wp:posOffset>
              </wp:positionH>
              <wp:positionV relativeFrom="paragraph">
                <wp:posOffset>28575</wp:posOffset>
              </wp:positionV>
              <wp:extent cx="411480" cy="116840"/>
              <wp:effectExtent l="0" t="0" r="0" b="0"/>
              <wp:wrapSquare wrapText="bothSides"/>
              <wp:docPr id="1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1480" cy="11684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sz w:val="16"/>
                            </w:rPr>
                          </w:pPr>
                          <w:r>
                            <w:rPr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sz w:val="16"/>
                            </w:rPr>
                            <w:t>4</w:t>
                          </w:r>
                          <w:r>
                            <w:rPr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32.4pt;height:9.2pt;mso-wrap-distance-left:0pt;mso-wrap-distance-right:0pt;mso-wrap-distance-top:0pt;mso-wrap-distance-bottom:0pt;margin-top:2.25pt;mso-position-vertical-relative:text;margin-left:544.55pt;mso-position-horizontal-relative:page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sz w:val="16"/>
                      </w:rPr>
                    </w:pPr>
                    <w:r>
                      <w:rPr>
                        <w:sz w:val="16"/>
                      </w:rPr>
                      <w:fldChar w:fldCharType="begin"/>
                    </w:r>
                    <w:r>
                      <w:rPr>
                        <w:sz w:val="16"/>
                      </w:rPr>
                      <w:instrText xml:space="preserve"> PAGE </w:instrText>
                    </w:r>
                    <w:r>
                      <w:rPr>
                        <w:sz w:val="16"/>
                      </w:rPr>
                      <w:fldChar w:fldCharType="separate"/>
                    </w:r>
                    <w:r>
                      <w:rPr>
                        <w:sz w:val="16"/>
                      </w:rPr>
                      <w:t>4</w:t>
                    </w:r>
                    <w:r>
                      <w:rPr>
                        <w:sz w:val="16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>
        <w:rFonts w:ascii="Times New Roman" w:hAnsi="Times New Roman" w:cs="Times New Roman"/>
        <w:sz w:val="16"/>
        <w:szCs w:val="16"/>
      </w:rPr>
    </w:pPr>
    <w:r>
      <w:rPr>
        <w:rFonts w:cs="Times New Roman" w:ascii="Times New Roman" w:hAnsi="Times New Roman"/>
        <w:sz w:val="16"/>
        <w:szCs w:val="16"/>
      </w:rPr>
      <w:t>очно-заочного заседания Постоянно действующей конкурсной комиссии (далее - Комиссия) по ранжированию заявок Участников и подведению итогов закупки</w:t>
    </w:r>
  </w:p>
  <w:p>
    <w:pPr>
      <w:pStyle w:val="12"/>
      <w:numPr>
        <w:ilvl w:val="0"/>
        <w:numId w:val="0"/>
      </w:numPr>
      <w:spacing w:before="0" w:after="0"/>
      <w:ind w:hanging="0" w:start="0"/>
      <w:jc w:val="center"/>
      <w:rPr/>
    </w:pPr>
    <w:r>
      <w:rPr>
        <w:rFonts w:cs="Times New Roman" w:ascii="Times New Roman" w:hAnsi="Times New Roman"/>
        <w:sz w:val="16"/>
        <w:szCs w:val="16"/>
      </w:rPr>
      <w:t xml:space="preserve"> </w:t>
    </w:r>
    <w:r>
      <w:rPr>
        <w:rFonts w:cs="Times New Roman" w:ascii="Times New Roman" w:hAnsi="Times New Roman"/>
        <w:sz w:val="16"/>
        <w:szCs w:val="16"/>
      </w:rPr>
      <w:t xml:space="preserve">(ЕИС № </w:t>
    </w:r>
    <w:r>
      <w:rPr>
        <w:rFonts w:cs="Times New Roman" w:ascii="Times New Roman" w:hAnsi="Times New Roman"/>
        <w:kern w:val="2"/>
        <w:sz w:val="16"/>
        <w:szCs w:val="16"/>
      </w:rPr>
      <w:t>32515462418</w:t>
    </w:r>
    <w:r>
      <w:rPr>
        <w:rFonts w:cs="Times New Roman" w:ascii="Times New Roman" w:hAnsi="Times New Roman"/>
        <w:sz w:val="16"/>
        <w:szCs w:val="16"/>
      </w:rPr>
      <w:t>)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pStyle w:val="Heading3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pStyle w:val="Heading4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rFonts w:ascii="Times New Roman" w:hAnsi="Times New Roman" w:cs="Times New Roman"/>
      </w:rPr>
    </w:lvl>
    <w:lvl w:ilvl="1">
      <w:start w:val="1"/>
      <w:isLgl/>
      <w:numFmt w:val="decimal"/>
      <w:lvlText w:val="%1.%2."/>
      <w:lvlJc w:val="start"/>
      <w:pPr>
        <w:tabs>
          <w:tab w:val="num" w:pos="0"/>
        </w:tabs>
        <w:ind w:start="644" w:hanging="360"/>
      </w:pPr>
      <w:rPr>
        <w:b/>
      </w:rPr>
    </w:lvl>
    <w:lvl w:ilvl="2">
      <w:start w:val="1"/>
      <w:isLgl/>
      <w:numFmt w:val="decimal"/>
      <w:lvlText w:val="%1.%2.%3."/>
      <w:lvlJc w:val="start"/>
      <w:pPr>
        <w:tabs>
          <w:tab w:val="num" w:pos="0"/>
        </w:tabs>
        <w:ind w:start="1080" w:hanging="720"/>
      </w:pPr>
      <w:rPr/>
    </w:lvl>
    <w:lvl w:ilvl="3">
      <w:start w:val="1"/>
      <w:isLgl/>
      <w:numFmt w:val="decimal"/>
      <w:lvlText w:val="%1.%2.%3.%4."/>
      <w:lvlJc w:val="start"/>
      <w:pPr>
        <w:tabs>
          <w:tab w:val="num" w:pos="0"/>
        </w:tabs>
        <w:ind w:start="1080" w:hanging="720"/>
      </w:pPr>
      <w:rPr/>
    </w:lvl>
    <w:lvl w:ilvl="4">
      <w:start w:val="1"/>
      <w:isLgl/>
      <w:numFmt w:val="decimal"/>
      <w:lvlText w:val="%1.%2.%3.%4.%5."/>
      <w:lvlJc w:val="start"/>
      <w:pPr>
        <w:tabs>
          <w:tab w:val="num" w:pos="0"/>
        </w:tabs>
        <w:ind w:start="1440" w:hanging="1080"/>
      </w:pPr>
      <w:rPr/>
    </w:lvl>
    <w:lvl w:ilvl="5">
      <w:start w:val="1"/>
      <w:isLgl/>
      <w:numFmt w:val="decimal"/>
      <w:lvlText w:val="%1.%2.%3.%4.%5.%6."/>
      <w:lvlJc w:val="start"/>
      <w:pPr>
        <w:tabs>
          <w:tab w:val="num" w:pos="0"/>
        </w:tabs>
        <w:ind w:start="1440" w:hanging="1080"/>
      </w:pPr>
      <w:rPr/>
    </w:lvl>
    <w:lvl w:ilvl="6">
      <w:start w:val="1"/>
      <w:isLgl/>
      <w:numFmt w:val="decimal"/>
      <w:lvlText w:val="%1.%2.%3.%4.%5.%6.%7."/>
      <w:lvlJc w:val="start"/>
      <w:pPr>
        <w:tabs>
          <w:tab w:val="num" w:pos="0"/>
        </w:tabs>
        <w:ind w:start="1800" w:hanging="1440"/>
      </w:pPr>
      <w:rPr/>
    </w:lvl>
    <w:lvl w:ilvl="7">
      <w:start w:val="1"/>
      <w:isLgl/>
      <w:numFmt w:val="decimal"/>
      <w:lvlText w:val="%1.%2.%3.%4.%5.%6.%7.%8."/>
      <w:lvlJc w:val="start"/>
      <w:pPr>
        <w:tabs>
          <w:tab w:val="num" w:pos="0"/>
        </w:tabs>
        <w:ind w:start="1800" w:hanging="1440"/>
      </w:pPr>
      <w:rPr/>
    </w:lvl>
    <w:lvl w:ilvl="8">
      <w:start w:val="1"/>
      <w:isLgl/>
      <w:numFmt w:val="decimal"/>
      <w:lvlText w:val="%1.%2.%3.%4.%5.%6.%7.%8.%9."/>
      <w:lvlJc w:val="start"/>
      <w:pPr>
        <w:tabs>
          <w:tab w:val="num" w:pos="0"/>
        </w:tabs>
        <w:ind w:start="2160" w:hanging="180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1142" w:hanging="432"/>
      </w:pPr>
      <w:rPr>
        <w:b/>
      </w:r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1224" w:hanging="504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1728" w:hanging="648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2232" w:hanging="792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2736" w:hanging="936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3240" w:hanging="108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3744" w:hanging="1224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4320" w:hanging="144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567"/>
        </w:tabs>
        <w:ind w:start="567" w:hanging="567"/>
      </w:pPr>
      <w:rPr/>
    </w:lvl>
    <w:lvl w:ilvl="1">
      <w:start w:val="1"/>
      <w:numFmt w:val="decimal"/>
      <w:lvlText w:val="%1.%2"/>
      <w:lvlJc w:val="start"/>
      <w:pPr>
        <w:tabs>
          <w:tab w:val="num" w:pos="567"/>
        </w:tabs>
        <w:ind w:start="567" w:hanging="567"/>
      </w:pPr>
      <w:rPr/>
    </w:lvl>
    <w:lvl w:ilvl="2">
      <w:start w:val="1"/>
      <w:numFmt w:val="decimal"/>
      <w:lvlText w:val="%1.%2.%3"/>
      <w:lvlJc w:val="start"/>
      <w:pPr>
        <w:tabs>
          <w:tab w:val="num" w:pos="1134"/>
        </w:tabs>
        <w:ind w:start="1134" w:hanging="1134"/>
      </w:pPr>
      <w:rPr/>
    </w:lvl>
    <w:lvl w:ilvl="3">
      <w:start w:val="1"/>
      <w:numFmt w:val="decimal"/>
      <w:lvlText w:val="%1.%2.%3.%4"/>
      <w:lvlJc w:val="start"/>
      <w:pPr>
        <w:tabs>
          <w:tab w:val="num" w:pos="1701"/>
        </w:tabs>
        <w:ind w:start="1701" w:hanging="1134"/>
      </w:pPr>
      <w:rPr/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  <w:rPr/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  <w:rPr/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  <w:rPr/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  <w:rPr/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  <w:rPr/>
    </w:lvl>
  </w:abstractNum>
  <w:abstractNum w:abstractNumId="5">
    <w:lvl w:ilvl="0">
      <w:start w:val="1"/>
      <w:numFmt w:val="upperRoman"/>
      <w:lvlText w:val="%1."/>
      <w:lvlJc w:val="start"/>
      <w:pPr>
        <w:tabs>
          <w:tab w:val="num" w:pos="0"/>
        </w:tabs>
        <w:ind w:start="720" w:hanging="72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360"/>
      <w:ind w:firstLine="567" w:start="0" w:end="0"/>
      <w:jc w:val="both"/>
    </w:pPr>
    <w:rPr>
      <w:rFonts w:ascii="Times New Roman" w:hAnsi="Times New Roman" w:eastAsia="Times New Roman" w:cs="Times New Roman"/>
      <w:color w:val="auto"/>
      <w:sz w:val="28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spacing w:before="240" w:after="60"/>
      <w:outlineLvl w:val="0"/>
    </w:pPr>
    <w:rPr>
      <w:rFonts w:ascii="Arial" w:hAnsi="Arial" w:cs="Arial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tabs>
        <w:tab w:val="clear" w:pos="709"/>
        <w:tab w:val="left" w:pos="1134" w:leader="none"/>
      </w:tabs>
      <w:suppressAutoHyphens w:val="true"/>
      <w:spacing w:lineRule="auto" w:line="240" w:before="360" w:after="120"/>
      <w:ind w:hanging="1134" w:start="1134" w:end="0"/>
      <w:jc w:val="start"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uppressAutoHyphens w:val="true"/>
      <w:spacing w:lineRule="auto" w:line="240" w:before="120" w:after="120"/>
      <w:jc w:val="start"/>
      <w:outlineLvl w:val="2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uppressAutoHyphens w:val="true"/>
      <w:spacing w:lineRule="auto" w:line="240" w:before="240" w:after="120"/>
      <w:ind w:firstLine="567" w:start="1134" w:end="0"/>
      <w:outlineLvl w:val="3"/>
    </w:pPr>
    <w:rPr>
      <w:b/>
      <w:i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b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Times New Roman" w:hAnsi="Times New Roman" w:cs="Times New Roman"/>
    </w:rPr>
  </w:style>
  <w:style w:type="character" w:styleId="WW8Num7z1">
    <w:name w:val="WW8Num7z1"/>
    <w:qFormat/>
    <w:rPr>
      <w:b/>
    </w:rPr>
  </w:style>
  <w:style w:type="character" w:styleId="WW8Num7z2">
    <w:name w:val="WW8Num7z2"/>
    <w:qFormat/>
    <w:rPr/>
  </w:style>
  <w:style w:type="character" w:styleId="WW8Num8z0">
    <w:name w:val="WW8Num8z0"/>
    <w:qFormat/>
    <w:rPr/>
  </w:style>
  <w:style w:type="character" w:styleId="WW8Num9z0">
    <w:name w:val="WW8Num9z0"/>
    <w:qFormat/>
    <w:rPr/>
  </w:style>
  <w:style w:type="character" w:styleId="WW8Num10z0">
    <w:name w:val="WW8Num10z0"/>
    <w:qFormat/>
    <w:rPr>
      <w:sz w:val="24"/>
    </w:rPr>
  </w:style>
  <w:style w:type="character" w:styleId="WW8Num11z0">
    <w:name w:val="WW8Num11z0"/>
    <w:qFormat/>
    <w:rPr>
      <w:b/>
    </w:rPr>
  </w:style>
  <w:style w:type="character" w:styleId="WW8Num11z1">
    <w:name w:val="WW8Num11z1"/>
    <w:qFormat/>
    <w:rPr>
      <w:b/>
    </w:rPr>
  </w:style>
  <w:style w:type="character" w:styleId="WW8Num12z0">
    <w:name w:val="WW8Num12z0"/>
    <w:qFormat/>
    <w:rPr/>
  </w:style>
  <w:style w:type="character" w:styleId="WW8Num13z0">
    <w:name w:val="WW8Num13z0"/>
    <w:qFormat/>
    <w:rPr>
      <w:rFonts w:ascii="Times New Roman" w:hAnsi="Times New Roman" w:eastAsia="Times New Roman" w:cs="Times New Roman"/>
    </w:rPr>
  </w:style>
  <w:style w:type="character" w:styleId="WW8Num14z0">
    <w:name w:val="WW8Num14z0"/>
    <w:qFormat/>
    <w:rPr/>
  </w:style>
  <w:style w:type="character" w:styleId="WW8Num14z1">
    <w:name w:val="WW8Num14z1"/>
    <w:qFormat/>
    <w:rPr>
      <w:sz w:val="20"/>
    </w:rPr>
  </w:style>
  <w:style w:type="character" w:styleId="WW8Num15z0">
    <w:name w:val="WW8Num15z0"/>
    <w:qFormat/>
    <w:rPr/>
  </w:style>
  <w:style w:type="character" w:styleId="WW8Num16z0">
    <w:name w:val="WW8Num16z0"/>
    <w:qFormat/>
    <w:rPr>
      <w:b/>
      <w:color w:val="000000"/>
    </w:rPr>
  </w:style>
  <w:style w:type="character" w:styleId="WW8Num17z0">
    <w:name w:val="WW8Num17z0"/>
    <w:qFormat/>
    <w:rPr/>
  </w:style>
  <w:style w:type="character" w:styleId="WW8Num18z0">
    <w:name w:val="WW8Num18z0"/>
    <w:qFormat/>
    <w:rPr/>
  </w:style>
  <w:style w:type="character" w:styleId="WW8Num19z0">
    <w:name w:val="WW8Num19z0"/>
    <w:qFormat/>
    <w:rPr/>
  </w:style>
  <w:style w:type="character" w:styleId="WW8Num20z0">
    <w:name w:val="WW8Num20z0"/>
    <w:qFormat/>
    <w:rPr/>
  </w:style>
  <w:style w:type="character" w:styleId="WW8Num21z0">
    <w:name w:val="WW8Num21z0"/>
    <w:qFormat/>
    <w:rPr/>
  </w:style>
  <w:style w:type="character" w:styleId="WW8Num22z0">
    <w:name w:val="WW8Num22z0"/>
    <w:qFormat/>
    <w:rPr/>
  </w:style>
  <w:style w:type="character" w:styleId="WW8Num23z0">
    <w:name w:val="WW8Num23z0"/>
    <w:qFormat/>
    <w:rPr/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/>
  </w:style>
  <w:style w:type="character" w:styleId="WW8Num27z0">
    <w:name w:val="WW8Num27z0"/>
    <w:qFormat/>
    <w:rPr/>
  </w:style>
  <w:style w:type="character" w:styleId="WW8Num28z0">
    <w:name w:val="WW8Num28z0"/>
    <w:qFormat/>
    <w:rPr>
      <w:rFonts w:ascii="Times New Roman" w:hAnsi="Times New Roman" w:cs="Times New Roman"/>
    </w:rPr>
  </w:style>
  <w:style w:type="character" w:styleId="WW8Num28z1">
    <w:name w:val="WW8Num28z1"/>
    <w:qFormat/>
    <w:rPr>
      <w:b/>
    </w:rPr>
  </w:style>
  <w:style w:type="character" w:styleId="WW8Num28z2">
    <w:name w:val="WW8Num28z2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2z0">
    <w:name w:val="WW8Num32z0"/>
    <w:qFormat/>
    <w:rPr/>
  </w:style>
  <w:style w:type="character" w:styleId="WW8Num33z0">
    <w:name w:val="WW8Num33z0"/>
    <w:qFormat/>
    <w:rPr/>
  </w:style>
  <w:style w:type="character" w:styleId="WW8Num34z0">
    <w:name w:val="WW8Num34z0"/>
    <w:qFormat/>
    <w:rPr/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Style10">
    <w:name w:val="Основной шрифт абзаца"/>
    <w:qFormat/>
    <w:rPr/>
  </w:style>
  <w:style w:type="character" w:styleId="Style11">
    <w:name w:val="комментарий"/>
    <w:qFormat/>
    <w:rPr>
      <w:b/>
      <w:i/>
      <w:shd w:fill="FFFF99" w:val="clear"/>
    </w:rPr>
  </w:style>
  <w:style w:type="character" w:styleId="PageNumber">
    <w:name w:val="page number"/>
    <w:basedOn w:val="Style10"/>
    <w:rPr/>
  </w:style>
  <w:style w:type="character" w:styleId="Style12">
    <w:name w:val="Пункт Знак"/>
    <w:qFormat/>
    <w:rPr>
      <w:b/>
      <w:sz w:val="28"/>
      <w:szCs w:val="28"/>
      <w:lang w:val="ru-RU" w:bidi="ar-SA"/>
    </w:rPr>
  </w:style>
  <w:style w:type="character" w:styleId="Hyperlink">
    <w:name w:val="Hyperlink"/>
    <w:rPr>
      <w:color w:val="0000FF"/>
      <w:u w:val="single"/>
    </w:rPr>
  </w:style>
  <w:style w:type="character" w:styleId="Strong">
    <w:name w:val="Strong"/>
    <w:qFormat/>
    <w:rPr>
      <w:b/>
      <w:bCs/>
    </w:rPr>
  </w:style>
  <w:style w:type="character" w:styleId="Style13">
    <w:name w:val="Верхний колонтитул Знак"/>
    <w:qFormat/>
    <w:rPr>
      <w:sz w:val="28"/>
      <w:lang w:val="ru-RU" w:bidi="ar-SA"/>
    </w:rPr>
  </w:style>
  <w:style w:type="character" w:styleId="1">
    <w:name w:val="Пункт Знак1"/>
    <w:qFormat/>
    <w:rPr>
      <w:b/>
      <w:sz w:val="28"/>
      <w:szCs w:val="28"/>
      <w:lang w:val="ru-RU" w:bidi="ar-SA"/>
    </w:rPr>
  </w:style>
  <w:style w:type="character" w:styleId="webofficeattributevalue1">
    <w:name w:val="webofficeattributevalue1"/>
    <w:qFormat/>
    <w:rPr>
      <w:rFonts w:ascii="Verdana" w:hAnsi="Verdana" w:cs="Verdana"/>
      <w:strike w:val="false"/>
      <w:dstrike w:val="false"/>
      <w:color w:val="000000"/>
      <w:sz w:val="16"/>
      <w:szCs w:val="16"/>
      <w:u w:val="none"/>
    </w:rPr>
  </w:style>
  <w:style w:type="character" w:styleId="value">
    <w:name w:val="value"/>
    <w:basedOn w:val="Style10"/>
    <w:qFormat/>
    <w:rPr/>
  </w:style>
  <w:style w:type="character" w:styleId="x-small1">
    <w:name w:val="x-small1"/>
    <w:qFormat/>
    <w:rPr>
      <w:sz w:val="18"/>
      <w:szCs w:val="18"/>
    </w:rPr>
  </w:style>
  <w:style w:type="character" w:styleId="Style14">
    <w:name w:val="Замещающий текст"/>
    <w:qFormat/>
    <w:rPr>
      <w:color w:val="808080"/>
    </w:rPr>
  </w:style>
  <w:style w:type="character" w:styleId="Style15">
    <w:name w:val="Название Знак"/>
    <w:qFormat/>
    <w:rPr>
      <w:sz w:val="28"/>
      <w:szCs w:val="24"/>
    </w:rPr>
  </w:style>
  <w:style w:type="character" w:styleId="11">
    <w:name w:val="Подпункт Знак1"/>
    <w:qFormat/>
    <w:rPr>
      <w:sz w:val="22"/>
    </w:rPr>
  </w:style>
  <w:style w:type="character" w:styleId="2">
    <w:name w:val="Основной текст с отступом 2 Знак"/>
    <w:qFormat/>
    <w:rPr>
      <w:sz w:val="24"/>
    </w:rPr>
  </w:style>
  <w:style w:type="paragraph" w:styleId="Heading">
    <w:name w:val="Heading"/>
    <w:basedOn w:val="Normal"/>
    <w:next w:val="BodyText"/>
    <w:qFormat/>
    <w:pPr>
      <w:ind w:hanging="0" w:start="0" w:end="0"/>
      <w:jc w:val="center"/>
    </w:pPr>
    <w:rPr>
      <w:szCs w:val="24"/>
      <w:lang w:val="en-US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12">
    <w:name w:val="Стиль Заголовок 1 + по ширине"/>
    <w:basedOn w:val="Heading1"/>
    <w:qFormat/>
    <w:pPr>
      <w:keepLines/>
      <w:numPr>
        <w:ilvl w:val="0"/>
        <w:numId w:val="4"/>
      </w:numPr>
      <w:suppressAutoHyphens w:val="true"/>
      <w:spacing w:lineRule="auto" w:line="240" w:before="480" w:after="240"/>
    </w:pPr>
    <w:rPr>
      <w:rFonts w:cs="Times New Roman"/>
      <w:kern w:val="2"/>
      <w:sz w:val="40"/>
      <w:szCs w:val="20"/>
    </w:rPr>
  </w:style>
  <w:style w:type="paragraph" w:styleId="BodyTextIndent">
    <w:name w:val="Body Text Indent"/>
    <w:basedOn w:val="Normal"/>
    <w:pPr>
      <w:tabs>
        <w:tab w:val="clear" w:pos="709"/>
        <w:tab w:val="left" w:pos="720" w:leader="none"/>
      </w:tabs>
      <w:spacing w:lineRule="auto" w:line="240"/>
      <w:ind w:firstLine="567" w:start="-360" w:end="0"/>
    </w:pPr>
    <w:rPr>
      <w:sz w:val="26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Style16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7">
    <w:name w:val="Таблица текст"/>
    <w:basedOn w:val="Normal"/>
    <w:qFormat/>
    <w:pPr>
      <w:spacing w:lineRule="auto" w:line="240" w:before="40" w:after="40"/>
      <w:ind w:hanging="0" w:start="57" w:end="57"/>
      <w:jc w:val="start"/>
    </w:pPr>
    <w:rPr>
      <w:sz w:val="24"/>
    </w:rPr>
  </w:style>
  <w:style w:type="paragraph" w:styleId="Style18">
    <w:name w:val="Пункт"/>
    <w:basedOn w:val="Normal"/>
    <w:qFormat/>
    <w:pPr>
      <w:tabs>
        <w:tab w:val="clear" w:pos="709"/>
        <w:tab w:val="left" w:pos="1134" w:leader="none"/>
      </w:tabs>
      <w:ind w:hanging="1134" w:start="1134" w:end="0"/>
    </w:pPr>
    <w:rPr>
      <w:b/>
      <w:szCs w:val="28"/>
    </w:rPr>
  </w:style>
  <w:style w:type="paragraph" w:styleId="-2">
    <w:name w:val="Пункт-2"/>
    <w:basedOn w:val="Style18"/>
    <w:qFormat/>
    <w:pPr>
      <w:keepNext w:val="true"/>
      <w:outlineLvl w:val="2"/>
    </w:pPr>
    <w:rPr>
      <w:b w:val="false"/>
    </w:rPr>
  </w:style>
  <w:style w:type="paragraph" w:styleId="Style19">
    <w:name w:val="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">
    <w:name w:val="WW-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0">
    <w:name w:val="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">
    <w:name w:val="WW-Знак1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13">
    <w:name w:val="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1">
    <w:name w:val="Нумерованный список"/>
    <w:basedOn w:val="Normal"/>
    <w:qFormat/>
    <w:pPr>
      <w:numPr>
        <w:ilvl w:val="0"/>
        <w:numId w:val="6"/>
      </w:numPr>
      <w:autoSpaceDE w:val="false"/>
      <w:spacing w:before="60" w:after="0"/>
    </w:pPr>
    <w:rPr>
      <w:bCs/>
      <w:sz w:val="22"/>
      <w:szCs w:val="24"/>
    </w:rPr>
  </w:style>
  <w:style w:type="paragraph" w:styleId="21">
    <w:name w:val="Основной текст с отступом 2"/>
    <w:basedOn w:val="Normal"/>
    <w:qFormat/>
    <w:pPr>
      <w:spacing w:lineRule="auto" w:line="240"/>
      <w:ind w:hanging="0" w:start="-540" w:end="0"/>
      <w:jc w:val="center"/>
    </w:pPr>
    <w:rPr>
      <w:sz w:val="24"/>
    </w:rPr>
  </w:style>
  <w:style w:type="paragraph" w:styleId="14">
    <w:name w:val="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xl34">
    <w:name w:val="xl34"/>
    <w:basedOn w:val="Normal"/>
    <w:qFormat/>
    <w:pPr>
      <w:pBdr>
        <w:left w:val="single" w:sz="4" w:space="0" w:color="000000"/>
        <w:right w:val="single" w:sz="4" w:space="0" w:color="000000"/>
      </w:pBdr>
      <w:spacing w:lineRule="auto" w:line="240" w:before="280" w:after="280"/>
      <w:ind w:hanging="0" w:start="0" w:end="0"/>
      <w:jc w:val="start"/>
    </w:pPr>
    <w:rPr>
      <w:rFonts w:ascii="Arial Unicode MS" w:hAnsi="Arial Unicode MS" w:eastAsia="Arial Unicode MS" w:cs="Arial Unicode MS"/>
      <w:sz w:val="24"/>
      <w:szCs w:val="24"/>
    </w:rPr>
  </w:style>
  <w:style w:type="paragraph" w:styleId="Style22">
    <w:name w:val="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WW-11">
    <w:name w:val="WW-Знак Знак Знак1 Знак Знак Знак Знак Знак Знак Знак"/>
    <w:basedOn w:val="Normal"/>
    <w:qFormat/>
    <w:pPr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3">
    <w:name w:val="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Style24">
    <w:name w:val="Ариал"/>
    <w:basedOn w:val="Normal"/>
    <w:qFormat/>
    <w:pPr>
      <w:spacing w:before="120" w:after="120"/>
      <w:ind w:firstLine="851" w:start="0" w:end="0"/>
    </w:pPr>
    <w:rPr>
      <w:rFonts w:ascii="Arial" w:hAnsi="Arial" w:cs="Arial"/>
      <w:sz w:val="24"/>
      <w:szCs w:val="24"/>
    </w:rPr>
  </w:style>
  <w:style w:type="paragraph" w:styleId="WW-2">
    <w:name w:val="WW-Знак Знак Знак Знак Знак Знак Знак"/>
    <w:basedOn w:val="Normal"/>
    <w:qFormat/>
    <w:pPr>
      <w:tabs>
        <w:tab w:val="clear" w:pos="709"/>
        <w:tab w:val="left" w:pos="360" w:leader="none"/>
      </w:tabs>
      <w:spacing w:lineRule="exact" w:line="240" w:before="0" w:after="160"/>
      <w:ind w:hanging="0" w:start="0" w:end="0"/>
      <w:jc w:val="start"/>
    </w:pPr>
    <w:rPr>
      <w:rFonts w:ascii="Verdana" w:hAnsi="Verdana" w:cs="Verdana"/>
      <w:sz w:val="20"/>
      <w:lang w:val="en-US"/>
    </w:rPr>
  </w:style>
  <w:style w:type="paragraph" w:styleId="3">
    <w:name w:val="Обычный3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4">
    <w:name w:val="Обычный4"/>
    <w:qFormat/>
    <w:pPr>
      <w:widowControl/>
      <w:bidi w:val="0"/>
    </w:pPr>
    <w:rPr>
      <w:rFonts w:ascii="Arial" w:hAnsi="Arial" w:eastAsia="Times New Roman" w:cs="Arial"/>
      <w:color w:val="auto"/>
      <w:sz w:val="18"/>
      <w:szCs w:val="20"/>
      <w:lang w:val="ru-RU" w:bidi="ar-SA" w:eastAsia="zh-CN"/>
    </w:rPr>
  </w:style>
  <w:style w:type="paragraph" w:styleId="5">
    <w:name w:val="Обычный5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22">
    <w:name w:val="Обычный2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5">
    <w:name w:val="Обычный (веб)"/>
    <w:basedOn w:val="Normal"/>
    <w:qFormat/>
    <w:pPr>
      <w:spacing w:lineRule="auto" w:line="240" w:before="280" w:after="280"/>
      <w:ind w:hanging="0" w:start="0" w:end="0"/>
      <w:jc w:val="start"/>
    </w:pPr>
    <w:rPr>
      <w:sz w:val="24"/>
      <w:szCs w:val="24"/>
    </w:rPr>
  </w:style>
  <w:style w:type="paragraph" w:styleId="WW-12">
    <w:name w:val="WW-Обычный1"/>
    <w:qFormat/>
    <w:pPr>
      <w:widowControl w:val="false"/>
      <w:bidi w:val="0"/>
      <w:ind w:firstLine="400" w:start="0" w:end="0"/>
      <w:jc w:val="both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26">
    <w:name w:val="Абзац списка"/>
    <w:basedOn w:val="Normal"/>
    <w:qFormat/>
    <w:pPr>
      <w:suppressAutoHyphens w:val="true"/>
      <w:spacing w:before="0" w:after="0"/>
      <w:ind w:firstLine="567" w:start="720" w:end="0"/>
      <w:contextualSpacing/>
    </w:pPr>
    <w:rPr>
      <w:kern w:val="2"/>
    </w:rPr>
  </w:style>
  <w:style w:type="paragraph" w:styleId="Style27">
    <w:name w:val="Подпункт"/>
    <w:basedOn w:val="Normal"/>
    <w:qFormat/>
    <w:pPr>
      <w:tabs>
        <w:tab w:val="clear" w:pos="709"/>
        <w:tab w:val="left" w:pos="1701" w:leader="none"/>
      </w:tabs>
      <w:ind w:hanging="1134" w:start="1701" w:end="0"/>
    </w:pPr>
    <w:rPr>
      <w:sz w:val="22"/>
      <w:lang w:val="en-U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www.tender.lot-online.ru/" TargetMode="Externa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ПрРРП1.dotx</Template>
  <TotalTime>3482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2018-06-29T10:41:00Z</dcterms:created>
  <dc:creator>moesk</dc:creator>
  <dc:description>1815</dc:description>
  <cp:keywords/>
  <dc:language>en-US</dc:language>
  <cp:lastModifiedBy>Огородникова Елена Алексеевна</cp:lastModifiedBy>
  <cp:lastPrinted>2019-12-18T09:26:00Z</cp:lastPrinted>
  <dcterms:modified xsi:type="dcterms:W3CDTF">2025-12-12T09:25:00Z</dcterms:modified>
  <cp:revision>2948</cp:revision>
  <dc:subject>B2B-Moesk №1036357</dc:subject>
  <dc:title>Протокол заседания Конкурсной комиссии по оценке конкурсных заявок и выбору Победителя конкурса</dc:title>
</cp:coreProperties>
</file>