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b/>
        </w:rPr>
      </w:pPr>
      <w:r>
        <w:rPr>
          <w:b/>
        </w:rPr>
        <w:t>ПРОТОКОЛ</w:t>
      </w:r>
    </w:p>
    <w:p>
      <w:pPr>
        <w:pStyle w:val="Normal"/>
        <w:jc w:val="center"/>
        <w:rPr>
          <w:b/>
        </w:rPr>
      </w:pPr>
      <w:r>
        <w:rPr/>
        <w:t>заседания Закупочной комиссии о признании закупки несостоявшейся</w:t>
      </w:r>
    </w:p>
    <w:p>
      <w:pPr>
        <w:pStyle w:val="Normal"/>
        <w:spacing w:before="240" w:after="0"/>
        <w:jc w:val="center"/>
        <w:rPr/>
      </w:pPr>
      <w:r>
        <w:rPr>
          <w:b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/>
              <w:t>№ </w:t>
            </w:r>
            <w:r>
              <w:rPr/>
              <w:t>220261/ОК-ПН_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Способ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Открытый конкурс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Средний ремонт турбины  К-215-130ЛМЗ ст. № 5 для Гусиноозерской ГРЭС АО «Интер РАО - Электрогенерация»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«15» декабря 2025г. 11:00 (по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«15» декабря 2025г.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19 492 895,00 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/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rPr/>
      </w:pPr>
      <w:r>
        <w:rPr>
          <w:b/>
        </w:rPr>
        <w:t>ВОПРОСЫ ЗАСЕДАНИЯ ЗАКУПОЧНОЙ КОМИССИИ:</w:t>
      </w:r>
    </w:p>
    <w:p>
      <w:pPr>
        <w:pStyle w:val="Normal"/>
        <w:spacing w:before="120" w:after="120"/>
        <w:ind w:firstLine="709" w:end="0"/>
        <w:rPr>
          <w:i/>
          <w:i/>
          <w:color w:val="548DD4"/>
        </w:rPr>
      </w:pPr>
      <w:r>
        <w:rPr>
          <w:i/>
          <w:color w:val="548DD4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>
                <w:i/>
                <w:sz w:val="18"/>
                <w:szCs w:val="18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21.10.2025 14:30:50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24.10.2025 07:29:18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3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29.10.2025 11:43:18</w:t>
            </w:r>
          </w:p>
        </w:tc>
      </w:tr>
    </w:tbl>
    <w:p>
      <w:pPr>
        <w:pStyle w:val="Normal"/>
        <w:spacing w:before="120" w:after="120"/>
        <w:rPr>
          <w:b/>
        </w:rPr>
      </w:pPr>
      <w:r>
        <w:rPr>
          <w:b/>
        </w:rPr>
        <w:t>Вопрос 1 повестки: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/>
        <w:t>Об одобрении Сводного отчета Экспертной группы по оценке заявок.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/>
        <w:t>Члены Закупочной комиссии изучили поступившие заявки. Результаты оценки сведены в Сводный отчет Экспертной группы по оценке заявок.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/>
        <w:t>Закупочной комиссии предлагается одобрить Сводный отчет Экспертной группы по оценке заявок (приложение №1).</w:t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  <w:t>Вопрос 2 повестки: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bookmarkStart w:id="0" w:name="_Hlk91153338"/>
      <w:bookmarkStart w:id="1" w:name="_Hlk90385669"/>
      <w:bookmarkEnd w:id="0"/>
      <w:bookmarkEnd w:id="1"/>
      <w:r>
        <w:rPr/>
        <w:t>Предлагается отклонить заявки участников в соответствии со Сводным отчетом Экспертной группы (приложение № 1).</w:t>
      </w:r>
    </w:p>
    <w:p>
      <w:pPr>
        <w:pStyle w:val="Normal"/>
        <w:widowControl w:val="false"/>
        <w:spacing w:before="120" w:after="120"/>
        <w:rPr/>
      </w:pPr>
      <w:bookmarkStart w:id="2" w:name="_Hlk91153338"/>
      <w:bookmarkStart w:id="3" w:name="_Hlk90385669"/>
      <w:bookmarkEnd w:id="2"/>
      <w:bookmarkEnd w:id="3"/>
      <w:r>
        <w:rPr>
          <w:b/>
        </w:rPr>
        <w:t>Вопрос 3 повестки:</w:t>
      </w:r>
    </w:p>
    <w:p>
      <w:pPr>
        <w:pStyle w:val="Normal"/>
        <w:widowControl w:val="false"/>
        <w:ind w:firstLine="708" w:end="0"/>
        <w:jc w:val="both"/>
        <w:rPr>
          <w:i/>
          <w:i/>
        </w:rPr>
      </w:pPr>
      <w:bookmarkStart w:id="4" w:name="_Hlk91153363"/>
      <w:bookmarkStart w:id="5" w:name="_Hlk91151590"/>
      <w:bookmarkEnd w:id="4"/>
      <w:bookmarkEnd w:id="5"/>
      <w:r>
        <w:rPr/>
        <w:t>О признании закупки</w:t>
      </w:r>
      <w:r>
        <w:rPr>
          <w:i/>
          <w:color w:val="548DD4"/>
        </w:rPr>
        <w:t xml:space="preserve"> </w:t>
      </w:r>
      <w:r>
        <w:rPr/>
        <w:t>несостоявшейся</w:t>
      </w:r>
      <w:r>
        <w:rPr>
          <w:i/>
        </w:rPr>
        <w:t>.</w:t>
      </w:r>
    </w:p>
    <w:p>
      <w:pPr>
        <w:pStyle w:val="Normal"/>
        <w:widowControl w:val="false"/>
        <w:ind w:firstLine="708" w:end="0"/>
        <w:jc w:val="both"/>
        <w:rPr/>
      </w:pPr>
      <w:r>
        <w:rPr/>
        <w:t>В связи с тем, что по результатам проведения закупки все заявки на участие в закупке отклонены, предлагается признать закупку</w:t>
      </w:r>
      <w:r>
        <w:rPr>
          <w:i/>
          <w:color w:val="548DD4"/>
        </w:rPr>
        <w:t xml:space="preserve"> </w:t>
      </w:r>
      <w:r>
        <w:rPr/>
        <w:t>несостоявшейся.</w:t>
      </w:r>
    </w:p>
    <w:p>
      <w:pPr>
        <w:pStyle w:val="Normal"/>
        <w:widowControl w:val="false"/>
        <w:ind w:firstLine="708" w:end="0"/>
        <w:jc w:val="both"/>
        <w:rPr/>
      </w:pPr>
      <w:r>
        <w:rPr/>
      </w:r>
      <w:bookmarkStart w:id="6" w:name="_Hlk91153363"/>
      <w:bookmarkStart w:id="7" w:name="_Hlk91151590"/>
      <w:bookmarkStart w:id="8" w:name="_Hlk91153363"/>
      <w:bookmarkStart w:id="9" w:name="_Hlk91151590"/>
      <w:bookmarkEnd w:id="8"/>
      <w:bookmarkEnd w:id="9"/>
    </w:p>
    <w:p>
      <w:pPr>
        <w:pStyle w:val="Normal"/>
        <w:spacing w:before="120" w:after="120"/>
        <w:ind w:firstLine="709" w:end="0"/>
        <w:rPr>
          <w:b/>
        </w:rPr>
      </w:pPr>
      <w:r>
        <w:rPr>
          <w:b/>
        </w:rPr>
        <w:t>РЕШИЛИ: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/>
      </w:pPr>
      <w:r>
        <w:rPr/>
        <w:t>Одобрить Отчет по итоговой оценке заявок.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2835" w:leader="none"/>
          <w:tab w:val="left" w:pos="709" w:leader="none"/>
        </w:tabs>
        <w:spacing w:before="120" w:after="0"/>
        <w:ind w:hanging="0" w:start="0" w:end="0"/>
        <w:jc w:val="both"/>
        <w:rPr/>
      </w:pPr>
      <w:bookmarkStart w:id="10" w:name="_Hlk91153401"/>
      <w:bookmarkStart w:id="11" w:name="_Hlk91151385"/>
      <w:bookmarkEnd w:id="10"/>
      <w:bookmarkEnd w:id="11"/>
      <w:r>
        <w:rPr/>
        <w:t>Отклонить заявки участников в соответствии со Сводным отчетом Экспертной группы (приложение № 1).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/>
      </w:pPr>
      <w:bookmarkStart w:id="12" w:name="_Hlk91153401"/>
      <w:bookmarkStart w:id="13" w:name="_Hlk91151385"/>
      <w:bookmarkStart w:id="14" w:name="_Hlk91151619"/>
      <w:bookmarkStart w:id="15" w:name="_Hlk91150210"/>
      <w:bookmarkEnd w:id="12"/>
      <w:bookmarkEnd w:id="13"/>
      <w:bookmarkEnd w:id="14"/>
      <w:bookmarkEnd w:id="15"/>
      <w:r>
        <w:rPr/>
        <w:t>Признать закупку</w:t>
      </w:r>
      <w:r>
        <w:rPr>
          <w:i/>
          <w:color w:val="548DD4"/>
        </w:rPr>
        <w:t xml:space="preserve"> </w:t>
      </w:r>
      <w:r>
        <w:rPr/>
        <w:t>несостоявшейся.</w:t>
      </w:r>
    </w:p>
    <w:p>
      <w:pPr>
        <w:pStyle w:val="Normal"/>
        <w:tabs>
          <w:tab w:val="clear" w:pos="708"/>
          <w:tab w:val="left" w:pos="709" w:leader="none"/>
        </w:tabs>
        <w:spacing w:before="120" w:after="0"/>
        <w:jc w:val="both"/>
        <w:rPr>
          <w:color w:val="4F81BD"/>
        </w:rPr>
      </w:pPr>
      <w:r>
        <w:rPr>
          <w:color w:val="4F81BD"/>
        </w:rPr>
      </w:r>
      <w:bookmarkStart w:id="16" w:name="_Hlk91151619"/>
      <w:bookmarkStart w:id="17" w:name="_Hlk91150210"/>
      <w:bookmarkStart w:id="18" w:name="_Hlk91151619"/>
      <w:bookmarkStart w:id="19" w:name="_Hlk91150210"/>
      <w:bookmarkEnd w:id="18"/>
      <w:bookmarkEnd w:id="19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850" w:right="709" w:gutter="0" w:header="709" w:top="1134" w:footer="709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HeliosCond">
    <w:altName w:val="Franklin Gothic Medium Cond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lang w:val="ru-RU"/>
      </w:rPr>
    </w:pPr>
    <w:r>
      <w:rPr>
        <w:lang w:val="ru-RU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lang w:val="ru-RU"/>
      </w:rPr>
    </w:pPr>
    <w:r>
      <w:rPr>
        <w:lang w:val="ru-R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6z0">
    <w:name w:val="WW8Num6z0"/>
    <w:qFormat/>
    <w:rPr>
      <w:rFonts w:ascii="Symbol" w:hAnsi="Symbol" w:cs="Symbol"/>
      <w:color w:val="000000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2z0">
    <w:name w:val="WW8Num12z0"/>
    <w:qFormat/>
    <w:rPr>
      <w:sz w:val="24"/>
      <w:szCs w:val="24"/>
    </w:rPr>
  </w:style>
  <w:style w:type="character" w:styleId="WW8Num12z1">
    <w:name w:val="WW8Num12z1"/>
    <w:qFormat/>
    <w:rPr>
      <w:rFonts w:ascii="Symbol" w:hAnsi="Symbol" w:cs="Symbol"/>
      <w:b w:val="false"/>
      <w:i w:val="false"/>
      <w:sz w:val="24"/>
    </w:rPr>
  </w:style>
  <w:style w:type="character" w:styleId="WW8Num13z0">
    <w:name w:val="WW8Num13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5z0">
    <w:name w:val="WW8Num15z0"/>
    <w:qFormat/>
    <w:rPr>
      <w:sz w:val="20"/>
      <w:szCs w:val="20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/>
  </w:style>
  <w:style w:type="character" w:styleId="WW8Num19z0">
    <w:name w:val="WW8Num19z0"/>
    <w:qFormat/>
    <w:rPr>
      <w:sz w:val="24"/>
      <w:szCs w:val="24"/>
    </w:rPr>
  </w:style>
  <w:style w:type="character" w:styleId="WW8Num19z1">
    <w:name w:val="WW8Num19z1"/>
    <w:qFormat/>
    <w:rPr>
      <w:rFonts w:ascii="Symbol" w:hAnsi="Symbol" w:cs="Symbol"/>
      <w:b w:val="false"/>
      <w:i w:val="false"/>
      <w:sz w:val="24"/>
    </w:rPr>
  </w:style>
  <w:style w:type="character" w:styleId="WW8Num20z0">
    <w:name w:val="WW8Num20z0"/>
    <w:qFormat/>
    <w:rPr>
      <w:sz w:val="20"/>
      <w:szCs w:val="20"/>
    </w:rPr>
  </w:style>
  <w:style w:type="character" w:styleId="WW8Num21z0">
    <w:name w:val="WW8Num21z0"/>
    <w:qFormat/>
    <w:rPr/>
  </w:style>
  <w:style w:type="character" w:styleId="WW8Num21z1">
    <w:name w:val="WW8Num21z1"/>
    <w:qFormat/>
    <w:rPr>
      <w:color w:val="000000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4z1">
    <w:name w:val="WW8Num24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25z1">
    <w:name w:val="WW8Num25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26z0">
    <w:name w:val="WW8Num2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7z0">
    <w:name w:val="WW8Num27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  <w:szCs w:val="24"/>
    </w:rPr>
  </w:style>
  <w:style w:type="character" w:styleId="Style18">
    <w:name w:val="Основной текст с отступом Знак"/>
    <w:qFormat/>
    <w:rPr>
      <w:sz w:val="24"/>
      <w:szCs w:val="24"/>
    </w:rPr>
  </w:style>
  <w:style w:type="character" w:styleId="2">
    <w:name w:val="Красная строка 2 Знак"/>
    <w:basedOn w:val="Style18"/>
    <w:qFormat/>
    <w:rPr/>
  </w:style>
  <w:style w:type="character" w:styleId="Style19">
    <w:name w:val="Текст сноски Знак"/>
    <w:basedOn w:val="Style13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yle20">
    <w:name w:val="Верхний колонтитул Знак"/>
    <w:qFormat/>
    <w:rPr>
      <w:sz w:val="24"/>
      <w:szCs w:val="24"/>
    </w:rPr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кст примечания Знак"/>
    <w:basedOn w:val="Style13"/>
    <w:qFormat/>
    <w:rPr/>
  </w:style>
  <w:style w:type="character" w:styleId="Style23">
    <w:name w:val="Тема примечания Знак"/>
    <w:qFormat/>
    <w:rPr>
      <w:b/>
      <w:bCs/>
    </w:rPr>
  </w:style>
  <w:style w:type="character" w:styleId="Style24">
    <w:name w:val="Текст Знак"/>
    <w:qFormat/>
    <w:rPr>
      <w:rFonts w:ascii="Calibri" w:hAnsi="Calibri" w:eastAsia="Calibri" w:cs="Calibri"/>
      <w:sz w:val="22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5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6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7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9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21">
    <w:name w:val="Красная строка 2"/>
    <w:basedOn w:val="BodyTextIndent"/>
    <w:qFormat/>
    <w:pPr>
      <w:widowControl w:val="false"/>
      <w:autoSpaceDE w:val="false"/>
      <w:spacing w:before="0" w:after="0"/>
      <w:ind w:firstLine="360" w:start="360" w:end="0"/>
    </w:pPr>
    <w:rPr/>
  </w:style>
  <w:style w:type="paragraph" w:styleId="FootnoteText">
    <w:name w:val="footnote text"/>
    <w:basedOn w:val="Normal"/>
    <w:pPr>
      <w:widowControl w:val="false"/>
      <w:autoSpaceDE w:val="false"/>
    </w:pPr>
    <w:rPr>
      <w:sz w:val="20"/>
      <w:szCs w:val="20"/>
    </w:rPr>
  </w:style>
  <w:style w:type="paragraph" w:styleId="Style30">
    <w:name w:val="Текст примечания"/>
    <w:basedOn w:val="Normal"/>
    <w:qFormat/>
    <w:pPr/>
    <w:rPr>
      <w:sz w:val="20"/>
      <w:szCs w:val="20"/>
    </w:rPr>
  </w:style>
  <w:style w:type="paragraph" w:styleId="Style31">
    <w:name w:val="Тема примечания"/>
    <w:basedOn w:val="Style30"/>
    <w:next w:val="Style30"/>
    <w:qFormat/>
    <w:pPr/>
    <w:rPr>
      <w:b/>
      <w:bCs/>
      <w:lang w:val="en-US"/>
    </w:rPr>
  </w:style>
  <w:style w:type="paragraph" w:styleId="Style32">
    <w:name w:val="Подподпункт"/>
    <w:basedOn w:val="Normal"/>
    <w:qFormat/>
    <w:pPr>
      <w:numPr>
        <w:ilvl w:val="0"/>
        <w:numId w:val="3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Style33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34">
    <w:name w:val="Текст"/>
    <w:basedOn w:val="Normal"/>
    <w:qFormat/>
    <w:pPr/>
    <w:rPr>
      <w:rFonts w:ascii="Calibri" w:hAnsi="Calibri" w:eastAsia="Calibri" w:cs="Times New Roman"/>
      <w:sz w:val="22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2025-12-15T07:59:00Z</dcterms:created>
  <dc:creator/>
  <dc:description/>
  <cp:keywords/>
  <dc:language>en-US</dc:language>
  <cp:lastModifiedBy/>
  <dcterms:modified xsi:type="dcterms:W3CDTF">2025-12-15T07:59:00Z</dcterms:modified>
  <cp:revision>1</cp:revision>
  <dc:subject/>
  <dc:title>Протокол вскрытия конвертов</dc:title>
</cp:coreProperties>
</file>