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60" w:after="0"/>
        <w:jc w:val="center"/>
        <w:rPr>
          <w:b/>
        </w:rPr>
      </w:pPr>
      <w:r>
        <w:rPr>
          <w:b/>
        </w:rPr>
        <w:t>ПРОТОКОЛ</w:t>
      </w:r>
    </w:p>
    <w:p>
      <w:pPr>
        <w:pStyle w:val="Normal"/>
        <w:jc w:val="center"/>
        <w:rPr/>
      </w:pPr>
      <w:r>
        <w:rPr/>
        <w:t xml:space="preserve">заседания Закупочной комиссии </w:t>
      </w:r>
      <w:bookmarkStart w:id="0" w:name="OLE_LINK6"/>
      <w:bookmarkStart w:id="1" w:name="OLE_LINK5"/>
      <w:r>
        <w:rPr/>
        <w:t>по вскрытию конвертов</w:t>
      </w:r>
    </w:p>
    <w:p>
      <w:pPr>
        <w:pStyle w:val="Normal"/>
        <w:tabs>
          <w:tab w:val="clear" w:pos="708"/>
          <w:tab w:val="left" w:pos="3150" w:leader="none"/>
          <w:tab w:val="center" w:pos="4960" w:leader="none"/>
        </w:tabs>
        <w:rPr/>
      </w:pPr>
      <w:r>
        <w:rPr/>
        <w:tab/>
        <w:tab/>
        <w:t xml:space="preserve">с </w:t>
      </w:r>
      <w:bookmarkEnd w:id="0"/>
      <w:bookmarkEnd w:id="1"/>
      <w:r>
        <w:rPr/>
        <w:t>заявками на участие в закупке</w:t>
      </w:r>
    </w:p>
    <w:p>
      <w:pPr>
        <w:pStyle w:val="Normal"/>
        <w:spacing w:before="120" w:after="240"/>
        <w:contextualSpacing/>
        <w:jc w:val="center"/>
        <w:rPr>
          <w:b/>
        </w:rPr>
      </w:pPr>
      <w:r>
        <w:rPr>
          <w:b/>
        </w:rPr>
      </w:r>
    </w:p>
    <w:p>
      <w:pPr>
        <w:pStyle w:val="Normal"/>
        <w:spacing w:before="120" w:after="240"/>
        <w:contextualSpacing/>
        <w:jc w:val="center"/>
        <w:rPr>
          <w:b/>
        </w:rPr>
      </w:pPr>
      <w:r>
        <w:rPr>
          <w:b/>
        </w:rPr>
        <w:t>г. Москва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95"/>
        <w:gridCol w:w="5528"/>
      </w:tblGrid>
      <w:tr>
        <w:trPr/>
        <w:tc>
          <w:tcPr>
            <w:tcW w:w="439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Номер Протокола:</w:t>
            </w:r>
          </w:p>
        </w:tc>
        <w:tc>
          <w:tcPr>
            <w:tcW w:w="552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№ </w:t>
            </w:r>
            <w:r>
              <w:rPr/>
              <w:t>220927/ОК-ПВК</w:t>
            </w:r>
          </w:p>
        </w:tc>
      </w:tr>
      <w:tr>
        <w:trPr/>
        <w:tc>
          <w:tcPr>
            <w:tcW w:w="439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Способ закупки</w:t>
            </w:r>
          </w:p>
        </w:tc>
        <w:tc>
          <w:tcPr>
            <w:tcW w:w="552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Открытый конкурс (ЭТП)</w:t>
            </w:r>
          </w:p>
        </w:tc>
      </w:tr>
      <w:tr>
        <w:trPr/>
        <w:tc>
          <w:tcPr>
            <w:tcW w:w="439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Предмет закупки</w:t>
            </w:r>
          </w:p>
        </w:tc>
        <w:tc>
          <w:tcPr>
            <w:tcW w:w="552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Право заключения договора на поставку универсального комплекта модульных лесов для обеспечения безопасности работ на высоте для нужд Калининградской ТЭЦ-2 – филиала АО «Интер РАО – Электрогенерация» в 2026 году.</w:t>
            </w:r>
          </w:p>
        </w:tc>
      </w:tr>
      <w:tr>
        <w:trPr/>
        <w:tc>
          <w:tcPr>
            <w:tcW w:w="439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Дата/время проведения заседания:</w:t>
            </w:r>
          </w:p>
        </w:tc>
        <w:tc>
          <w:tcPr>
            <w:tcW w:w="552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«15» декабря 2025г. 12:00 (</w:t>
            </w:r>
            <w:r>
              <w:rPr>
                <w:i/>
                <w:sz w:val="22"/>
                <w:szCs w:val="22"/>
              </w:rPr>
              <w:t>по московскому времени)</w:t>
            </w:r>
          </w:p>
        </w:tc>
      </w:tr>
      <w:tr>
        <w:trPr/>
        <w:tc>
          <w:tcPr>
            <w:tcW w:w="439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Дата подписания протокола</w:t>
            </w:r>
          </w:p>
        </w:tc>
        <w:tc>
          <w:tcPr>
            <w:tcW w:w="552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>
                <w:b/>
              </w:rPr>
            </w:pPr>
            <w:r>
              <w:rPr/>
              <w:t>«15» декабря 2025г.</w:t>
            </w:r>
          </w:p>
        </w:tc>
      </w:tr>
      <w:tr>
        <w:trPr/>
        <w:tc>
          <w:tcPr>
            <w:tcW w:w="439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Начальная (максимальная) цена:</w:t>
            </w:r>
          </w:p>
        </w:tc>
        <w:tc>
          <w:tcPr>
            <w:tcW w:w="552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31 434 713,44 руб. без НДС</w:t>
            </w:r>
          </w:p>
        </w:tc>
      </w:tr>
      <w:tr>
        <w:trPr/>
        <w:tc>
          <w:tcPr>
            <w:tcW w:w="439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Участниками могут быть только субъекты МСП</w:t>
            </w:r>
          </w:p>
        </w:tc>
        <w:tc>
          <w:tcPr>
            <w:tcW w:w="552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Нет</w:t>
            </w:r>
          </w:p>
        </w:tc>
      </w:tr>
      <w:tr>
        <w:trPr/>
        <w:tc>
          <w:tcPr>
            <w:tcW w:w="4395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Объем, цена закупаемых товаров, работ, услуг, срок исполнения договора</w:t>
            </w:r>
          </w:p>
        </w:tc>
        <w:tc>
          <w:tcPr>
            <w:tcW w:w="5528" w:type="dxa"/>
            <w:tcBorders>
              <w:top w:val="single" w:sz="4" w:space="0" w:color="A6A6A6"/>
              <w:start w:val="single" w:sz="4" w:space="0" w:color="A6A6A6"/>
              <w:bottom w:val="single" w:sz="4" w:space="0" w:color="A6A6A6"/>
              <w:end w:val="single" w:sz="4" w:space="0" w:color="A6A6A6"/>
            </w:tcBorders>
            <w:vAlign w:val="bottom"/>
          </w:tcPr>
          <w:p>
            <w:pPr>
              <w:pStyle w:val="Normal"/>
              <w:spacing w:before="120" w:after="0"/>
              <w:rPr/>
            </w:pPr>
            <w:r>
              <w:rPr/>
              <w:t>В соответствии с Закупочной документацией</w:t>
            </w:r>
          </w:p>
        </w:tc>
      </w:tr>
    </w:tbl>
    <w:p>
      <w:pPr>
        <w:pStyle w:val="Normal"/>
        <w:spacing w:before="120" w:after="120"/>
        <w:ind w:firstLine="567" w:end="0"/>
        <w:rPr>
          <w:b/>
        </w:rPr>
      </w:pPr>
      <w:r>
        <w:rPr>
          <w:b/>
        </w:rPr>
        <w:t xml:space="preserve">ВОПРОСЫ ЗАСЕДАНИЯ ЗАКУПОЧНОЙ КОМИССИИ: </w:t>
      </w:r>
    </w:p>
    <w:p>
      <w:pPr>
        <w:pStyle w:val="Normal"/>
        <w:spacing w:before="120" w:after="120"/>
        <w:ind w:firstLine="567" w:end="0"/>
        <w:rPr>
          <w:i/>
          <w:i/>
          <w:color w:val="548DD4"/>
        </w:rPr>
      </w:pPr>
      <w:r>
        <w:rPr>
          <w:i/>
          <w:color w:val="548DD4"/>
        </w:rPr>
        <w:t xml:space="preserve">На участие в закупке было подано: 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64"/>
        <w:gridCol w:w="4114"/>
        <w:gridCol w:w="5245"/>
      </w:tblGrid>
      <w:tr>
        <w:trPr>
          <w:tblHeader w:val="true"/>
          <w:trHeight w:val="473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/>
            </w:pPr>
            <w:r>
              <w:rPr/>
              <w:t>№</w:t>
            </w:r>
          </w:p>
          <w:p>
            <w:pPr>
              <w:pStyle w:val="Normal"/>
              <w:keepNext w:val="true"/>
              <w:spacing w:before="40" w:after="40"/>
              <w:ind w:start="-108" w:end="-108"/>
              <w:jc w:val="center"/>
              <w:rPr/>
            </w:pPr>
            <w:r>
              <w:rPr/>
              <w:t>п/п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/>
            </w:pPr>
            <w:r>
              <w:rPr/>
              <w:t>Порядковый номер Участника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keepNext w:val="true"/>
              <w:spacing w:before="40" w:after="40"/>
              <w:ind w:start="57" w:end="57"/>
              <w:jc w:val="center"/>
              <w:rPr/>
            </w:pPr>
            <w:r>
              <w:rPr/>
              <w:t xml:space="preserve">Дата и время регистрации заявки, </w:t>
            </w:r>
          </w:p>
          <w:p>
            <w:pPr>
              <w:pStyle w:val="Normal"/>
              <w:keepNext w:val="true"/>
              <w:spacing w:before="40" w:after="40"/>
              <w:ind w:start="57" w:end="57"/>
              <w:jc w:val="center"/>
              <w:rPr/>
            </w:pPr>
            <w:r>
              <w:rPr/>
              <w:t>Общая цена заявки на участие в закупке</w:t>
            </w:r>
          </w:p>
        </w:tc>
      </w:tr>
      <w:tr>
        <w:trPr>
          <w:tblHeader w:val="true"/>
          <w:trHeight w:val="275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ind w:start="34" w:end="0"/>
              <w:jc w:val="center"/>
              <w:rPr>
                <w:i/>
                <w:i/>
              </w:rPr>
            </w:pPr>
            <w:r>
              <w:rPr>
                <w:i/>
              </w:rPr>
              <w:t>1</w:t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</w:rPr>
            </w:pPr>
            <w:r>
              <w:rPr>
                <w:i/>
              </w:rPr>
              <w:t>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BFBFBF" w:val="clear"/>
            <w:vAlign w:val="center"/>
          </w:tcPr>
          <w:p>
            <w:pPr>
              <w:pStyle w:val="Normal"/>
              <w:spacing w:before="40" w:after="40"/>
              <w:ind w:start="57" w:end="57"/>
              <w:jc w:val="center"/>
              <w:rPr>
                <w:i/>
                <w:i/>
              </w:rPr>
            </w:pPr>
            <w:r>
              <w:rPr>
                <w:i/>
              </w:rPr>
              <w:t>3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>
                <w:i/>
                <w:sz w:val="18"/>
                <w:szCs w:val="18"/>
              </w:rPr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Участник № 1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u w:val="single"/>
              </w:rPr>
            </w:pPr>
            <w:r>
              <w:rPr>
                <w:u w:val="single"/>
              </w:rPr>
              <w:t>Дата и время регистрации заявки</w:t>
            </w:r>
          </w:p>
          <w:p>
            <w:pPr>
              <w:pStyle w:val="Normal"/>
              <w:jc w:val="both"/>
              <w:rPr/>
            </w:pPr>
            <w:r>
              <w:rPr/>
              <w:t>24.11.2025 08:28:17</w:t>
            </w:r>
          </w:p>
          <w:p>
            <w:pPr>
              <w:pStyle w:val="Normal"/>
              <w:jc w:val="both"/>
              <w:rPr>
                <w:u w:val="single"/>
              </w:rPr>
            </w:pPr>
            <w:r>
              <w:rPr>
                <w:u w:val="single"/>
              </w:rPr>
              <w:t>Цена за группу товаров:</w:t>
            </w:r>
          </w:p>
          <w:p>
            <w:pPr>
              <w:pStyle w:val="Normal"/>
              <w:jc w:val="both"/>
              <w:rPr/>
            </w:pPr>
            <w:r>
              <w:rPr/>
              <w:t>29 862 977,00 руб. без НДС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/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Участник № 2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u w:val="single"/>
              </w:rPr>
            </w:pPr>
            <w:r>
              <w:rPr>
                <w:u w:val="single"/>
              </w:rPr>
              <w:t>Дата и время регистрации заявки</w:t>
            </w:r>
          </w:p>
          <w:p>
            <w:pPr>
              <w:pStyle w:val="Normal"/>
              <w:jc w:val="both"/>
              <w:rPr/>
            </w:pPr>
            <w:r>
              <w:rPr/>
              <w:t>24.11.2025 10:32:12</w:t>
            </w:r>
          </w:p>
          <w:p>
            <w:pPr>
              <w:pStyle w:val="Normal"/>
              <w:jc w:val="both"/>
              <w:rPr>
                <w:u w:val="single"/>
              </w:rPr>
            </w:pPr>
            <w:r>
              <w:rPr>
                <w:u w:val="single"/>
              </w:rPr>
              <w:t>Цена за группу товаров:</w:t>
            </w:r>
          </w:p>
          <w:p>
            <w:pPr>
              <w:pStyle w:val="Normal"/>
              <w:jc w:val="both"/>
              <w:rPr/>
            </w:pPr>
            <w:r>
              <w:rPr/>
              <w:t>29 492 173,89 руб. без НДС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/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Участник № 3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u w:val="single"/>
              </w:rPr>
            </w:pPr>
            <w:r>
              <w:rPr>
                <w:u w:val="single"/>
              </w:rPr>
              <w:t>Дата и время регистрации заявки</w:t>
            </w:r>
          </w:p>
          <w:p>
            <w:pPr>
              <w:pStyle w:val="Normal"/>
              <w:jc w:val="both"/>
              <w:rPr/>
            </w:pPr>
            <w:r>
              <w:rPr/>
              <w:t>24.11.2025 10:41:13</w:t>
            </w:r>
          </w:p>
          <w:p>
            <w:pPr>
              <w:pStyle w:val="Normal"/>
              <w:jc w:val="both"/>
              <w:rPr>
                <w:u w:val="single"/>
              </w:rPr>
            </w:pPr>
            <w:r>
              <w:rPr>
                <w:u w:val="single"/>
              </w:rPr>
              <w:t>Цена за группу товаров:</w:t>
            </w:r>
          </w:p>
          <w:p>
            <w:pPr>
              <w:pStyle w:val="Normal"/>
              <w:jc w:val="both"/>
              <w:rPr/>
            </w:pPr>
            <w:r>
              <w:rPr/>
              <w:t>31 334 456,21 руб. без НДС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/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Участник № 4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u w:val="single"/>
              </w:rPr>
            </w:pPr>
            <w:r>
              <w:rPr>
                <w:u w:val="single"/>
              </w:rPr>
              <w:t>Дата и время регистрации заявки</w:t>
            </w:r>
          </w:p>
          <w:p>
            <w:pPr>
              <w:pStyle w:val="Normal"/>
              <w:jc w:val="both"/>
              <w:rPr/>
            </w:pPr>
            <w:r>
              <w:rPr/>
              <w:t>24.11.2025 11:50:15</w:t>
            </w:r>
          </w:p>
          <w:p>
            <w:pPr>
              <w:pStyle w:val="Normal"/>
              <w:jc w:val="both"/>
              <w:rPr>
                <w:u w:val="single"/>
              </w:rPr>
            </w:pPr>
            <w:r>
              <w:rPr>
                <w:u w:val="single"/>
              </w:rPr>
              <w:t>Цена за группу товаров:</w:t>
            </w:r>
          </w:p>
          <w:p>
            <w:pPr>
              <w:pStyle w:val="Normal"/>
              <w:jc w:val="both"/>
              <w:rPr/>
            </w:pPr>
            <w:r>
              <w:rPr/>
              <w:t>30 162 350,03 руб. без НДС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/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Участник № 5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u w:val="single"/>
              </w:rPr>
            </w:pPr>
            <w:r>
              <w:rPr>
                <w:u w:val="single"/>
              </w:rPr>
              <w:t>Дата и время регистрации заявки</w:t>
            </w:r>
          </w:p>
          <w:p>
            <w:pPr>
              <w:pStyle w:val="Normal"/>
              <w:jc w:val="both"/>
              <w:rPr/>
            </w:pPr>
            <w:r>
              <w:rPr/>
              <w:t>25.11.2025 15:56:57</w:t>
            </w:r>
          </w:p>
          <w:p>
            <w:pPr>
              <w:pStyle w:val="Normal"/>
              <w:jc w:val="both"/>
              <w:rPr>
                <w:u w:val="single"/>
              </w:rPr>
            </w:pPr>
            <w:r>
              <w:rPr>
                <w:u w:val="single"/>
              </w:rPr>
              <w:t>Цена за группу товаров:</w:t>
            </w:r>
          </w:p>
          <w:p>
            <w:pPr>
              <w:pStyle w:val="Normal"/>
              <w:jc w:val="both"/>
              <w:rPr/>
            </w:pPr>
            <w:r>
              <w:rPr/>
              <w:t>22 966 666,66 руб. без НДС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/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Участник № 6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u w:val="single"/>
              </w:rPr>
            </w:pPr>
            <w:r>
              <w:rPr>
                <w:u w:val="single"/>
              </w:rPr>
              <w:t>Дата и время регистрации заявки</w:t>
            </w:r>
          </w:p>
          <w:p>
            <w:pPr>
              <w:pStyle w:val="Normal"/>
              <w:jc w:val="both"/>
              <w:rPr/>
            </w:pPr>
            <w:r>
              <w:rPr/>
              <w:t>25.11.2025 16:51:24</w:t>
            </w:r>
          </w:p>
          <w:p>
            <w:pPr>
              <w:pStyle w:val="Normal"/>
              <w:jc w:val="both"/>
              <w:rPr>
                <w:u w:val="single"/>
              </w:rPr>
            </w:pPr>
            <w:r>
              <w:rPr>
                <w:u w:val="single"/>
              </w:rPr>
              <w:t>Цена за группу товаров:</w:t>
            </w:r>
          </w:p>
          <w:p>
            <w:pPr>
              <w:pStyle w:val="Normal"/>
              <w:jc w:val="both"/>
              <w:rPr/>
            </w:pPr>
            <w:r>
              <w:rPr/>
              <w:t>27 662 547,00 руб. без НДС</w:t>
            </w:r>
          </w:p>
        </w:tc>
      </w:tr>
      <w:tr>
        <w:trPr>
          <w:trHeight w:val="474" w:hRule="atLeast"/>
        </w:trPr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numPr>
                <w:ilvl w:val="0"/>
                <w:numId w:val="2"/>
              </w:numPr>
              <w:snapToGrid w:val="false"/>
              <w:spacing w:lineRule="auto" w:line="360"/>
              <w:ind w:hanging="0" w:start="0" w:end="0"/>
              <w:jc w:val="both"/>
              <w:rPr/>
            </w:pPr>
            <w:r>
              <w:rPr/>
            </w:r>
          </w:p>
        </w:tc>
        <w:tc>
          <w:tcPr>
            <w:tcW w:w="411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Участник № 7</w:t>
            </w:r>
          </w:p>
        </w:tc>
        <w:tc>
          <w:tcPr>
            <w:tcW w:w="5245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u w:val="single"/>
              </w:rPr>
            </w:pPr>
            <w:r>
              <w:rPr>
                <w:u w:val="single"/>
              </w:rPr>
              <w:t>Дата и время регистрации заявки</w:t>
            </w:r>
          </w:p>
          <w:p>
            <w:pPr>
              <w:pStyle w:val="Normal"/>
              <w:jc w:val="both"/>
              <w:rPr/>
            </w:pPr>
            <w:r>
              <w:rPr/>
              <w:t>15.12.2025 11:10:14</w:t>
            </w:r>
          </w:p>
          <w:p>
            <w:pPr>
              <w:pStyle w:val="Normal"/>
              <w:jc w:val="both"/>
              <w:rPr>
                <w:u w:val="single"/>
              </w:rPr>
            </w:pPr>
            <w:r>
              <w:rPr>
                <w:u w:val="single"/>
              </w:rPr>
              <w:t>Цена за группу товаров:</w:t>
            </w:r>
          </w:p>
          <w:p>
            <w:pPr>
              <w:pStyle w:val="Normal"/>
              <w:jc w:val="both"/>
              <w:rPr/>
            </w:pPr>
            <w:r>
              <w:rPr/>
              <w:t>12 374 836,02 руб. без НДС</w:t>
            </w:r>
          </w:p>
        </w:tc>
      </w:tr>
    </w:tbl>
    <w:p>
      <w:pPr>
        <w:pStyle w:val="Normal"/>
        <w:numPr>
          <w:ilvl w:val="0"/>
          <w:numId w:val="3"/>
        </w:numPr>
        <w:spacing w:before="120" w:after="120"/>
        <w:ind w:firstLine="709" w:start="0" w:end="0"/>
        <w:jc w:val="both"/>
        <w:rPr/>
      </w:pPr>
      <w:r>
        <w:rPr/>
        <w:t>Результаты рассмотрения заявок: не предусмотрено этапом закупки.</w:t>
      </w:r>
    </w:p>
    <w:p>
      <w:pPr>
        <w:pStyle w:val="Normal"/>
        <w:numPr>
          <w:ilvl w:val="0"/>
          <w:numId w:val="3"/>
        </w:numPr>
        <w:spacing w:before="120" w:after="120"/>
        <w:ind w:firstLine="709" w:start="0" w:end="0"/>
        <w:jc w:val="both"/>
        <w:rPr/>
      </w:pPr>
      <w:r>
        <w:rPr/>
        <w:t>Результаты оценки заявок: не предусмотрено этапом закупки.</w:t>
      </w:r>
    </w:p>
    <w:p>
      <w:pPr>
        <w:pStyle w:val="Normal"/>
        <w:spacing w:before="120" w:after="120"/>
        <w:jc w:val="both"/>
        <w:rPr>
          <w:u w:val="single"/>
        </w:rPr>
      </w:pPr>
      <w:r>
        <w:rPr>
          <w:u w:val="single"/>
        </w:rPr>
      </w:r>
    </w:p>
    <w:p>
      <w:pPr>
        <w:pStyle w:val="Normal"/>
        <w:spacing w:before="120" w:after="120"/>
        <w:jc w:val="both"/>
        <w:rPr>
          <w:u w:val="single"/>
        </w:rPr>
      </w:pPr>
      <w:r>
        <w:rPr>
          <w:u w:val="single"/>
        </w:rPr>
      </w:r>
    </w:p>
    <w:sectPr>
      <w:headerReference w:type="default" r:id="rId2"/>
      <w:headerReference w:type="first" r:id="rId3"/>
      <w:type w:val="nextPage"/>
      <w:pgSz w:w="11906" w:h="16838"/>
      <w:pgMar w:left="1134" w:right="851" w:gutter="0" w:header="426" w:top="568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Calibri">
    <w:charset w:val="cc" w:characterSet="windows-1251"/>
    <w:family w:val="swiss"/>
    <w:pitch w:val="variable"/>
  </w:font>
  <w:font w:name="HeliosCond">
    <w:altName w:val="Franklin Gothic Medium Cond"/>
    <w:charset w:val="cc" w:characterSet="windows-125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1907" w:type="dxa"/>
      <w:jc w:val="start"/>
      <w:tblInd w:w="-1026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11907"/>
    </w:tblGrid>
    <w:tr>
      <w:trPr>
        <w:trHeight w:val="991" w:hRule="atLeast"/>
      </w:trPr>
      <w:tc>
        <w:tcPr>
          <w:tcW w:w="11907" w:type="dxa"/>
          <w:tcBorders/>
          <w:vAlign w:val="center"/>
        </w:tcPr>
        <w:p>
          <w:pPr>
            <w:pStyle w:val="Normal"/>
            <w:widowControl w:val="false"/>
            <w:tabs>
              <w:tab w:val="clear" w:pos="708"/>
              <w:tab w:val="left" w:pos="907" w:leader="none"/>
              <w:tab w:val="left" w:pos="8931" w:leader="none"/>
            </w:tabs>
            <w:autoSpaceDE w:val="false"/>
            <w:jc w:val="center"/>
            <w:rPr>
              <w:lang w:eastAsia="en-US"/>
            </w:rPr>
          </w:pPr>
          <w:r>
            <w:rPr>
              <w:lang w:val="en-US" w:eastAsia="en-US"/>
            </w:rPr>
            <w:drawing>
              <wp:inline distT="0" distB="0" distL="0" distR="0">
                <wp:extent cx="2162175" cy="695325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3" t="-9" r="-3" b="-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62175" cy="69532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>
      <w:trPr>
        <w:trHeight w:val="316" w:hRule="atLeast"/>
      </w:trPr>
      <w:tc>
        <w:tcPr>
          <w:tcW w:w="11907" w:type="dxa"/>
          <w:tcBorders/>
          <w:vAlign w:val="center"/>
        </w:tcPr>
        <w:p>
          <w:pPr>
            <w:pStyle w:val="Normal"/>
            <w:tabs>
              <w:tab w:val="clear" w:pos="708"/>
              <w:tab w:val="left" w:pos="8931" w:leader="none"/>
            </w:tabs>
            <w:ind w:start="1168" w:end="1167"/>
            <w:jc w:val="center"/>
            <w:rPr>
              <w:rFonts w:ascii="HeliosCond;Franklin Gothic Medium Cond" w:hAnsi="HeliosCond;Franklin Gothic Medium Cond" w:cs="Helios;Calibri"/>
              <w:color w:val="1F497D"/>
              <w:sz w:val="18"/>
              <w:szCs w:val="18"/>
              <w:lang w:eastAsia="en-US"/>
            </w:rPr>
          </w:pPr>
          <w:r>
            <w:rPr>
              <w:rFonts w:cs="Helios;Calibri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Большая Пироговская ул., д. 27, стр. 3, г. Москва, Россия, 119435</w:t>
          </w:r>
        </w:p>
        <w:p>
          <w:pPr>
            <w:pStyle w:val="Normal"/>
            <w:tabs>
              <w:tab w:val="clear" w:pos="708"/>
              <w:tab w:val="left" w:pos="8931" w:leader="none"/>
            </w:tabs>
            <w:jc w:val="center"/>
            <w:rPr>
              <w:rFonts w:ascii="HeliosCond;Franklin Gothic Medium Cond" w:hAnsi="HeliosCond;Franklin Gothic Medium Cond" w:cs="Helios;Calibri"/>
              <w:color w:val="1F497D"/>
              <w:sz w:val="18"/>
              <w:szCs w:val="18"/>
              <w:lang w:eastAsia="en-US"/>
            </w:rPr>
          </w:pPr>
          <w:r>
            <w:rPr>
              <w:rFonts w:cs="Helios;Calibri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Телефон: +7 (495) 664 8840, Факс: +7 (495) 664 8841</w:t>
          </w:r>
        </w:p>
        <w:p>
          <w:pPr>
            <w:pStyle w:val="Normal"/>
            <w:widowControl w:val="false"/>
            <w:tabs>
              <w:tab w:val="clear" w:pos="708"/>
              <w:tab w:val="left" w:pos="8931" w:leader="none"/>
            </w:tabs>
            <w:autoSpaceDE w:val="false"/>
            <w:ind w:start="1168" w:end="1167"/>
            <w:jc w:val="center"/>
            <w:rPr>
              <w:sz w:val="18"/>
              <w:szCs w:val="18"/>
              <w:lang w:eastAsia="en-US"/>
            </w:rPr>
          </w:pPr>
          <w:r>
            <w:rPr>
              <w:rFonts w:cs="Helios;Calibri" w:ascii="HeliosCond;Franklin Gothic Medium Cond" w:hAnsi="HeliosCond;Franklin Gothic Medium Cond"/>
              <w:color w:val="1F497D"/>
              <w:sz w:val="18"/>
              <w:szCs w:val="18"/>
              <w:lang w:eastAsia="en-US"/>
            </w:rPr>
            <w:t>www.interrao-zakupki.ru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86"/>
        </w:tabs>
        <w:ind w:start="786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1069" w:hanging="360"/>
      </w:pPr>
      <w:rPr>
        <w:i w:val="false"/>
        <w:color w:val="000000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sz w:val="28"/>
      <w:szCs w:val="28"/>
    </w:rPr>
  </w:style>
  <w:style w:type="character" w:styleId="WW8Num2z0">
    <w:name w:val="WW8Num2z0"/>
    <w:qFormat/>
    <w:rPr>
      <w:sz w:val="20"/>
      <w:szCs w:val="20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i w:val="false"/>
      <w:color w:val="000000"/>
    </w:rPr>
  </w:style>
  <w:style w:type="character" w:styleId="WW8Num6z0">
    <w:name w:val="WW8Num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7z0">
    <w:name w:val="WW8Num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8z0">
    <w:name w:val="WW8Num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9z0">
    <w:name w:val="WW8Num9z0"/>
    <w:qFormat/>
    <w:rPr>
      <w:rFonts w:ascii="Symbol" w:hAnsi="Symbol" w:cs="Symbol"/>
      <w:b w:val="false"/>
      <w:i w:val="false"/>
      <w:color w:val="000000"/>
      <w:sz w:val="24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1z0">
    <w:name w:val="WW8Num11z0"/>
    <w:qFormat/>
    <w:rPr>
      <w:sz w:val="20"/>
      <w:szCs w:val="20"/>
    </w:rPr>
  </w:style>
  <w:style w:type="character" w:styleId="WW8Num12z0">
    <w:name w:val="WW8Num12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4z0">
    <w:name w:val="WW8Num14z0"/>
    <w:qFormat/>
    <w:rPr>
      <w:sz w:val="20"/>
      <w:szCs w:val="20"/>
    </w:rPr>
  </w:style>
  <w:style w:type="character" w:styleId="WW8Num15z0">
    <w:name w:val="WW8Num15z0"/>
    <w:qFormat/>
    <w:rPr/>
  </w:style>
  <w:style w:type="character" w:styleId="WW8Num15z1">
    <w:name w:val="WW8Num15z1"/>
    <w:qFormat/>
    <w:rPr>
      <w:color w:val="000000"/>
    </w:rPr>
  </w:style>
  <w:style w:type="character" w:styleId="WW8Num16z0">
    <w:name w:val="WW8Num16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7z0">
    <w:name w:val="WW8Num17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8z0">
    <w:name w:val="WW8Num18z0"/>
    <w:qFormat/>
    <w:rPr>
      <w:rFonts w:ascii="Times New Roman" w:hAnsi="Times New Roman" w:cs="Times New Roman"/>
      <w:b w:val="false"/>
      <w:i w:val="false"/>
      <w:caps w:val="false"/>
      <w:smallCaps w:val="false"/>
      <w:strike w:val="false"/>
      <w:dstrike w:val="false"/>
      <w:outline w:val="false"/>
      <w:shadow w:val="false"/>
      <w:vanish w:val="false"/>
      <w:position w:val="0"/>
      <w:sz w:val="20"/>
      <w:sz w:val="20"/>
      <w:szCs w:val="20"/>
      <w:vertAlign w:val="baseline"/>
    </w:rPr>
  </w:style>
  <w:style w:type="character" w:styleId="WW8Num19z0">
    <w:name w:val="WW8Num19z0"/>
    <w:qFormat/>
    <w:rPr>
      <w:rFonts w:ascii="Symbol" w:hAnsi="Symbol" w:cs="Symbol"/>
      <w:b w:val="false"/>
      <w:i w:val="false"/>
      <w:color w:val="000000"/>
      <w:sz w:val="16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Style13">
    <w:name w:val="Основной шрифт абзаца"/>
    <w:qFormat/>
    <w:rPr/>
  </w:style>
  <w:style w:type="character" w:styleId="PageNumber">
    <w:name w:val="page number"/>
    <w:basedOn w:val="Style13"/>
    <w:rPr/>
  </w:style>
  <w:style w:type="character" w:styleId="Style14">
    <w:name w:val="комментарий"/>
    <w:qFormat/>
    <w:rPr>
      <w:b/>
      <w:i/>
      <w:shd w:fill="FFFF99" w:val="clear"/>
    </w:rPr>
  </w:style>
  <w:style w:type="character" w:styleId="Style15">
    <w:name w:val="Комментраий Знак"/>
    <w:qFormat/>
    <w:rPr>
      <w:i/>
      <w:color w:val="3366FF"/>
      <w:sz w:val="28"/>
      <w:szCs w:val="28"/>
      <w:lang w:val="ru-RU" w:bidi="ar-SA"/>
    </w:rPr>
  </w:style>
  <w:style w:type="character" w:styleId="Style16">
    <w:name w:val="Нижний колонтитул Знак"/>
    <w:qFormat/>
    <w:rPr>
      <w:sz w:val="24"/>
      <w:szCs w:val="24"/>
    </w:rPr>
  </w:style>
  <w:style w:type="character" w:styleId="Style17">
    <w:name w:val="Знак примечания"/>
    <w:qFormat/>
    <w:rPr>
      <w:sz w:val="16"/>
      <w:szCs w:val="16"/>
    </w:rPr>
  </w:style>
  <w:style w:type="character" w:styleId="Style18">
    <w:name w:val="Текст примечания Знак"/>
    <w:basedOn w:val="Style13"/>
    <w:qFormat/>
    <w:rPr/>
  </w:style>
  <w:style w:type="character" w:styleId="Style19">
    <w:name w:val="Тема примечания Знак"/>
    <w:qFormat/>
    <w:rPr>
      <w:b/>
      <w:bCs/>
    </w:rPr>
  </w:style>
  <w:style w:type="character" w:styleId="FontStyle128">
    <w:name w:val="Font Style128"/>
    <w:qFormat/>
    <w:rPr>
      <w:rFonts w:ascii="Times New Roman" w:hAnsi="Times New Roman" w:cs="Times New Roman"/>
      <w:color w:val="000000"/>
      <w:sz w:val="26"/>
      <w:szCs w:val="2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DefaultParagraphFontParaCharChar">
    <w:name w:val="Default Paragraph Font Para Char Char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0">
    <w:name w:val="Таблица шапка"/>
    <w:basedOn w:val="Normal"/>
    <w:qFormat/>
    <w:pPr>
      <w:keepNext w:val="true"/>
      <w:spacing w:before="40" w:after="40"/>
      <w:ind w:hanging="0" w:start="57" w:end="57"/>
    </w:pPr>
    <w:rPr>
      <w:sz w:val="22"/>
      <w:szCs w:val="20"/>
    </w:rPr>
  </w:style>
  <w:style w:type="paragraph" w:styleId="Style21">
    <w:name w:val="Таблица текст"/>
    <w:basedOn w:val="Normal"/>
    <w:qFormat/>
    <w:pPr>
      <w:spacing w:before="40" w:after="40"/>
      <w:ind w:hanging="0" w:start="57" w:end="57"/>
    </w:pPr>
    <w:rPr>
      <w:szCs w:val="20"/>
    </w:rPr>
  </w:style>
  <w:style w:type="paragraph" w:styleId="Style22">
    <w:name w:val="Схема документа"/>
    <w:basedOn w:val="Normal"/>
    <w:qFormat/>
    <w:pPr>
      <w:shd w:fill="000080" w:val="clear"/>
    </w:pPr>
    <w:rPr>
      <w:rFonts w:ascii="Tahoma" w:hAnsi="Tahoma" w:cs="Tahoma"/>
      <w:sz w:val="20"/>
      <w:szCs w:val="20"/>
    </w:rPr>
  </w:style>
  <w:style w:type="paragraph" w:styleId="Style23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Style24">
    <w:name w:val="Текст примечания"/>
    <w:basedOn w:val="Normal"/>
    <w:qFormat/>
    <w:pPr/>
    <w:rPr>
      <w:sz w:val="20"/>
      <w:szCs w:val="20"/>
    </w:rPr>
  </w:style>
  <w:style w:type="paragraph" w:styleId="Style25">
    <w:name w:val="Тема примечания"/>
    <w:basedOn w:val="Style24"/>
    <w:next w:val="Style24"/>
    <w:qFormat/>
    <w:pPr/>
    <w:rPr>
      <w:b/>
      <w:bCs/>
      <w:lang w:val="en-US"/>
    </w:rPr>
  </w:style>
  <w:style w:type="paragraph" w:styleId="Style26">
    <w:name w:val="Абзац списка"/>
    <w:basedOn w:val="Normal"/>
    <w:qFormat/>
    <w:pPr>
      <w:ind w:hanging="0" w:start="720" w:end="0"/>
    </w:pPr>
    <w:rPr>
      <w:rFonts w:ascii="Calibri" w:hAnsi="Calibri" w:eastAsia="Calibri" w:cs="Calibri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2023-09-22T06:34:00Z</dcterms:created>
  <dc:creator/>
  <dc:description/>
  <cp:keywords/>
  <dc:language>en-US</dc:language>
  <cp:lastModifiedBy/>
  <dcterms:modified xsi:type="dcterms:W3CDTF">2025-12-15T09:33:00Z</dcterms:modified>
  <cp:revision>1</cp:revision>
  <dc:subject/>
  <dc:title>Протокол вскрытия конвертов</dc:title>
</cp:coreProperties>
</file>