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</w:rPr>
        <w:t xml:space="preserve">заседания Закупочной комиссии </w:t>
      </w:r>
      <w:bookmarkStart w:id="0" w:name="_Hlk127443792"/>
      <w:r>
        <w:rPr>
          <w:rFonts w:cs="Liberation Serif" w:ascii="Liberation Serif" w:hAnsi="Liberation Serif"/>
        </w:rPr>
        <w:t>по выбору Победителя закупки</w:t>
      </w:r>
      <w:bookmarkEnd w:id="0"/>
    </w:p>
    <w:p>
      <w:pPr>
        <w:pStyle w:val="Normal"/>
        <w:spacing w:before="240" w:after="0"/>
        <w:jc w:val="center"/>
        <w:rPr/>
      </w:pPr>
      <w:r>
        <w:rPr>
          <w:rFonts w:cs="Liberation Serif" w:ascii="Liberation Serif" w:hAnsi="Liberation Serif"/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077"/>
        <w:gridCol w:w="6096"/>
      </w:tblGrid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Номер Протокола: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№ </w:t>
            </w:r>
            <w:r>
              <w:rPr>
                <w:rFonts w:cs="Liberation Serif" w:ascii="Liberation Serif" w:hAnsi="Liberation Serif"/>
              </w:rPr>
              <w:t>220835/ОК-ПВП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Способ закупки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Открытый конкурс в электронной форме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Предмет закупки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Style33"/>
              <w:numPr>
                <w:ilvl w:val="0"/>
                <w:numId w:val="0"/>
              </w:numPr>
              <w:tabs>
                <w:tab w:val="clear" w:pos="708"/>
                <w:tab w:val="left" w:pos="1440" w:leader="none"/>
              </w:tabs>
              <w:spacing w:before="60" w:after="60"/>
              <w:ind w:hanging="0" w:start="0" w:end="0"/>
              <w:contextualSpacing w:val="false"/>
              <w:jc w:val="both"/>
              <w:outlineLvl w:val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 xml:space="preserve">Техническое обслуживание и ремонт ПТК для Приморской ТЭС АО </w:t>
            </w:r>
            <w:r>
              <w:rPr>
                <w:rFonts w:cs="Liberation Serif" w:ascii="Liberation Serif" w:hAnsi="Liberation Serif"/>
                <w:spacing w:val="-6"/>
              </w:rPr>
              <w:t>«Интер РАО - Электрогенерация»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Дата/время проведения заседания: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«12» декабря 2025г. 10:00 (</w:t>
            </w: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подписания протокола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«12» декабря 2025г.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Начальная (максимальная) цена: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color w:val="548DD4"/>
              </w:rPr>
            </w:pPr>
            <w:r>
              <w:rPr>
                <w:rFonts w:cs="Liberation Serif" w:ascii="Liberation Serif" w:hAnsi="Liberation Serif"/>
              </w:rPr>
              <w:t xml:space="preserve">8 446 979,17 </w:t>
            </w:r>
            <w:r>
              <w:rPr>
                <w:rStyle w:val="FontStyle128"/>
                <w:rFonts w:cs="Liberation Serif" w:ascii="Liberation Serif" w:hAnsi="Liberation Serif"/>
                <w:sz w:val="24"/>
                <w:szCs w:val="24"/>
              </w:rPr>
              <w:t>руб. без НДС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Участниками могут быть только субъекты МСП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нет</w:t>
            </w:r>
          </w:p>
        </w:tc>
      </w:tr>
      <w:tr>
        <w:trPr/>
        <w:tc>
          <w:tcPr>
            <w:tcW w:w="407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60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/>
      </w:pPr>
      <w:bookmarkStart w:id="1" w:name="_Hlk127443833"/>
      <w:bookmarkEnd w:id="1"/>
      <w:r>
        <w:rPr>
          <w:rFonts w:cs="Liberation Serif" w:ascii="Liberation Serif" w:hAnsi="Liberation Serif"/>
          <w:b/>
        </w:rPr>
        <w:t>ВОПРОСЫ ЗАСЕДАНИЯ ЗАКУПОЧНОЙ КОМИССИИ:</w:t>
      </w:r>
    </w:p>
    <w:p>
      <w:pPr>
        <w:pStyle w:val="Normal"/>
        <w:widowControl w:val="false"/>
        <w:spacing w:before="120" w:after="120"/>
        <w:jc w:val="both"/>
        <w:rPr/>
      </w:pPr>
      <w:r>
        <w:rPr/>
        <w:t>На участие в закупке было подано:</w:t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387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3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  <w:sz w:val="18"/>
                <w:szCs w:val="18"/>
              </w:rPr>
            </w:pPr>
            <w:r>
              <w:rPr>
                <w:rFonts w:cs="Liberation Serif" w:ascii="Liberation Serif" w:hAnsi="Liberation Serif"/>
                <w:i/>
                <w:sz w:val="18"/>
                <w:szCs w:val="18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18"/>
                <w:szCs w:val="18"/>
              </w:rPr>
            </w:pPr>
            <w:r>
              <w:rPr>
                <w:rFonts w:cs="Liberation Serif" w:ascii="Liberation Serif" w:hAnsi="Liberation Serif"/>
                <w:i/>
                <w:sz w:val="18"/>
                <w:szCs w:val="18"/>
              </w:rPr>
              <w:t>2</w:t>
            </w:r>
          </w:p>
        </w:tc>
        <w:tc>
          <w:tcPr>
            <w:tcW w:w="53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18"/>
                <w:szCs w:val="18"/>
              </w:rPr>
            </w:pPr>
            <w:r>
              <w:rPr>
                <w:rFonts w:cs="Liberation Serif" w:ascii="Liberation Serif" w:hAnsi="Liberation Serif"/>
                <w:i/>
                <w:sz w:val="18"/>
                <w:szCs w:val="18"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8440" w:leader="none"/>
              </w:tabs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№1</w:t>
            </w:r>
          </w:p>
        </w:tc>
        <w:tc>
          <w:tcPr>
            <w:tcW w:w="5387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  <w:u w:val="single"/>
              </w:rPr>
            </w:pPr>
            <w:r>
              <w:rPr>
                <w:rFonts w:cs="Liberation Serif" w:ascii="Liberation Serif" w:hAnsi="Liberation Serif"/>
                <w:u w:val="single"/>
              </w:rPr>
              <w:t>Дата и время регистрации заявки:</w:t>
            </w:r>
          </w:p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14.11.2025 17:14:27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8440" w:leader="none"/>
              </w:tabs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№2*</w:t>
            </w:r>
          </w:p>
        </w:tc>
        <w:tc>
          <w:tcPr>
            <w:tcW w:w="53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  <w:u w:val="single"/>
              </w:rPr>
            </w:pPr>
            <w:r>
              <w:rPr>
                <w:rFonts w:cs="Liberation Serif" w:ascii="Liberation Serif" w:hAnsi="Liberation Serif"/>
                <w:u w:val="single"/>
              </w:rPr>
              <w:t>Дата и время регистрации заявки:</w:t>
            </w:r>
          </w:p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24.11.2025 11:43:22</w:t>
            </w:r>
          </w:p>
        </w:tc>
      </w:tr>
    </w:tbl>
    <w:p>
      <w:pPr>
        <w:pStyle w:val="Normal"/>
        <w:jc w:val="both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i/>
          <w:sz w:val="20"/>
          <w:szCs w:val="20"/>
        </w:rPr>
        <w:t>*заявка участника №2 была отклонена на этапе оценки заявок на участие в закупке</w:t>
      </w:r>
      <w:r>
        <w:rPr>
          <w:rFonts w:cs="Liberation Serif" w:ascii="Liberation Serif" w:hAnsi="Liberation Serif"/>
          <w:bCs/>
        </w:rPr>
        <w:t xml:space="preserve">       </w:t>
      </w:r>
    </w:p>
    <w:p>
      <w:pPr>
        <w:pStyle w:val="Normal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1 повестки: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Об одобрении Сводного отчета Экспертной группы по оценке заявок.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 1).</w:t>
      </w:r>
    </w:p>
    <w:p>
      <w:pPr>
        <w:pStyle w:val="Normal"/>
        <w:widowControl w:val="false"/>
        <w:spacing w:before="120" w:after="120"/>
        <w:ind w:firstLine="709" w:end="0"/>
        <w:jc w:val="both"/>
        <w:rPr>
          <w:rFonts w:ascii="Liberation Serif" w:hAnsi="Liberation Serif" w:cs="Liberation Serif"/>
          <w:i/>
          <w:i/>
          <w:color w:val="FF0000"/>
        </w:rPr>
      </w:pPr>
      <w:r>
        <w:rPr>
          <w:rFonts w:cs="Liberation Serif" w:ascii="Liberation Serif" w:hAnsi="Liberation Serif"/>
        </w:rPr>
        <w:t xml:space="preserve">Закупочной комиссии предлагается одобрить Сводный отчет Экспертной группы по оценке заявок </w:t>
      </w:r>
    </w:p>
    <w:p>
      <w:pPr>
        <w:pStyle w:val="Normal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 xml:space="preserve">Вопрос 2 повестки: </w:t>
      </w:r>
    </w:p>
    <w:p>
      <w:pPr>
        <w:pStyle w:val="Normal"/>
        <w:widowControl w:val="false"/>
        <w:ind w:firstLine="709" w:end="0"/>
        <w:jc w:val="both"/>
        <w:rPr>
          <w:rFonts w:ascii="Liberation Serif" w:hAnsi="Liberation Serif" w:cs="Liberation Serif"/>
          <w:b/>
        </w:rPr>
      </w:pPr>
      <w:bookmarkStart w:id="2" w:name="_Hlk91151526"/>
      <w:r>
        <w:rPr>
          <w:rFonts w:cs="Liberation Serif" w:ascii="Liberation Serif" w:hAnsi="Liberation Serif"/>
        </w:rPr>
        <w:t xml:space="preserve">Предлагается 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 </w:t>
      </w:r>
      <w:bookmarkStart w:id="3" w:name="_Hlk94100168"/>
      <w:bookmarkEnd w:id="2"/>
    </w:p>
    <w:p>
      <w:pPr>
        <w:pStyle w:val="Normal"/>
        <w:widowControl w:val="false"/>
        <w:ind w:firstLine="709" w:end="0"/>
        <w:jc w:val="both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</w:rPr>
        <w:t>Признать победителем участника, занявшего первое место, согласно итоговому ранжированию без учета его протокола разногласий к проекту договора.</w:t>
      </w:r>
    </w:p>
    <w:p>
      <w:pPr>
        <w:pStyle w:val="Normal"/>
        <w:widowControl w:val="false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</w:r>
      <w:bookmarkEnd w:id="3"/>
    </w:p>
    <w:p>
      <w:pPr>
        <w:pStyle w:val="Normal"/>
        <w:widowControl w:val="false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3 повестки:</w:t>
      </w:r>
      <w:r>
        <w:rPr>
          <w:rFonts w:cs="Liberation Serif" w:ascii="Liberation Serif" w:hAnsi="Liberation Serif"/>
          <w:color w:val="548DD4"/>
        </w:rPr>
        <w:t xml:space="preserve"> </w:t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О возможности проведения преддоговорных переговоров с Победителем.</w:t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переговоров.</w:t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РЕШИЛИ: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Одобрить Отчет по итоговой оценке заявок.</w:t>
      </w:r>
      <w:bookmarkStart w:id="4" w:name="_Hlk91150090"/>
      <w:bookmarkStart w:id="5" w:name="_Hlk94100201"/>
      <w:bookmarkStart w:id="6" w:name="_Hlk91151398"/>
    </w:p>
    <w:p>
      <w:pPr>
        <w:pStyle w:val="Normal"/>
        <w:numPr>
          <w:ilvl w:val="0"/>
          <w:numId w:val="4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End w:id="4"/>
      <w:r>
        <w:rPr>
          <w:rFonts w:cs="Liberation Serif" w:ascii="Liberation Serif" w:hAnsi="Liberation Serif"/>
        </w:rPr>
        <w:t xml:space="preserve">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1). </w:t>
      </w:r>
    </w:p>
    <w:p>
      <w:pPr>
        <w:pStyle w:val="Normal"/>
        <w:tabs>
          <w:tab w:val="clear" w:pos="708"/>
          <w:tab w:val="left" w:pos="-2835" w:leader="none"/>
        </w:tabs>
        <w:spacing w:before="120" w:after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Признать победителем участника, занявшего первое место, согласно итоговому ранжированию без учета его протокола разногласий к проекту договора.</w:t>
      </w:r>
      <w:bookmarkEnd w:id="5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7" w:name="_Hlk94100235"/>
      <w:bookmarkStart w:id="8" w:name="_Hlk91153158"/>
      <w:bookmarkEnd w:id="6"/>
      <w:bookmarkEnd w:id="7"/>
      <w:r>
        <w:rPr>
          <w:rFonts w:cs="Liberation Serif" w:ascii="Liberation Serif" w:hAnsi="Liberation Serif"/>
        </w:rPr>
        <w:t>Допускается проведение преддоговорных переговоров с целью уточнения несущественных для Заказчика несущественных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709" w:leader="none"/>
        </w:tabs>
        <w:spacing w:before="120" w:after="0"/>
        <w:jc w:val="both"/>
        <w:rPr/>
      </w:pPr>
      <w:bookmarkStart w:id="9" w:name="_Hlk91153158"/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  <w:bookmarkEnd w:id="9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10" w:name="_Hlk94100235"/>
      <w:bookmarkEnd w:id="10"/>
      <w:r>
        <w:rPr>
          <w:rFonts w:cs="Liberation Serif" w:ascii="Liberation Serif" w:hAnsi="Liberation Serif"/>
        </w:rPr>
        <w:t>Победителю предоставить справку о цепочке собственников в соответствии с Гарантийным письмом в сроки, установленные закупочной документацией.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Провести экспертную оценку справки о цепочке собственников, предоставленную Победителем в соответствии с Гарантийным письмом в составе заявки в течение 5 (пяти) рабочих дней.</w:t>
      </w:r>
    </w:p>
    <w:p>
      <w:pPr>
        <w:pStyle w:val="Normal"/>
        <w:numPr>
          <w:ilvl w:val="0"/>
          <w:numId w:val="4"/>
        </w:numPr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Договор с Победителем будет заключен в срок, установленный Извещением</w:t>
      </w:r>
      <w:r>
        <w:rPr>
          <w:rFonts w:cs="Liberation Serif" w:ascii="Liberation Serif" w:hAnsi="Liberation Serif"/>
          <w:i/>
          <w:color w:val="4F81BD"/>
        </w:rPr>
        <w:t>.</w:t>
      </w:r>
    </w:p>
    <w:p>
      <w:pPr>
        <w:pStyle w:val="Normal"/>
        <w:spacing w:before="120" w:after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1" w:name="_Hlk127443833"/>
      <w:bookmarkStart w:id="12" w:name="_Hlk94100254"/>
      <w:bookmarkStart w:id="13" w:name="_Hlk127443833"/>
      <w:bookmarkStart w:id="14" w:name="_Hlk94100254"/>
      <w:bookmarkEnd w:id="13"/>
      <w:bookmarkEnd w:id="14"/>
    </w:p>
    <w:p>
      <w:pPr>
        <w:pStyle w:val="Normal"/>
        <w:spacing w:before="120" w:after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</w:p>
    <w:p>
      <w:pPr>
        <w:pStyle w:val="Normal"/>
        <w:spacing w:before="120" w:after="12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5" w:name="_Hlk94100254"/>
      <w:bookmarkStart w:id="16" w:name="_Hlk94100254"/>
      <w:bookmarkEnd w:id="16"/>
    </w:p>
    <w:sectPr>
      <w:headerReference w:type="default" r:id="rId2"/>
      <w:headerReference w:type="first" r:id="rId3"/>
      <w:type w:val="nextPage"/>
      <w:pgSz w:w="11906" w:h="16838"/>
      <w:pgMar w:left="850" w:right="709" w:gutter="0" w:header="709" w:top="1134" w:footer="0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57730" cy="69088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57730" cy="6908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5z0">
    <w:name w:val="WW8Num5z0"/>
    <w:qFormat/>
    <w:rPr>
      <w:rFonts w:ascii="Symbol" w:hAnsi="Symbol" w:cs="Symbol"/>
      <w:color w:val="00000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4"/>
      <w:szCs w:val="24"/>
    </w:rPr>
  </w:style>
  <w:style w:type="character" w:styleId="WW8Num11z1">
    <w:name w:val="WW8Num11z1"/>
    <w:qFormat/>
    <w:rPr>
      <w:rFonts w:ascii="Symbol" w:hAnsi="Symbol" w:cs="Symbol"/>
      <w:b w:val="false"/>
      <w:i w:val="false"/>
      <w:sz w:val="24"/>
    </w:rPr>
  </w:style>
  <w:style w:type="character" w:styleId="WW8Num12z0">
    <w:name w:val="WW8Num12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/>
  </w:style>
  <w:style w:type="character" w:styleId="WW8Num18z0">
    <w:name w:val="WW8Num18z0"/>
    <w:qFormat/>
    <w:rPr>
      <w:sz w:val="24"/>
      <w:szCs w:val="24"/>
    </w:rPr>
  </w:style>
  <w:style w:type="character" w:styleId="WW8Num18z1">
    <w:name w:val="WW8Num18z1"/>
    <w:qFormat/>
    <w:rPr>
      <w:rFonts w:ascii="Symbol" w:hAnsi="Symbol" w:cs="Symbol"/>
      <w:b w:val="false"/>
      <w:i w:val="false"/>
      <w:sz w:val="24"/>
    </w:rPr>
  </w:style>
  <w:style w:type="character" w:styleId="WW8Num19z0">
    <w:name w:val="WW8Num19z0"/>
    <w:qFormat/>
    <w:rPr>
      <w:sz w:val="20"/>
      <w:szCs w:val="20"/>
    </w:rPr>
  </w:style>
  <w:style w:type="character" w:styleId="WW8Num20z0">
    <w:name w:val="WW8Num20z0"/>
    <w:qFormat/>
    <w:rPr/>
  </w:style>
  <w:style w:type="character" w:styleId="WW8Num20z1">
    <w:name w:val="WW8Num20z1"/>
    <w:qFormat/>
    <w:rPr>
      <w:color w:val="000000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3z1">
    <w:name w:val="WW8Num23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4z0">
    <w:name w:val="WW8Num2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4z1">
    <w:name w:val="WW8Num24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6z0">
    <w:name w:val="WW8Num26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Style18">
    <w:name w:val="Основной текст с отступом Знак"/>
    <w:qFormat/>
    <w:rPr>
      <w:sz w:val="24"/>
      <w:szCs w:val="24"/>
    </w:rPr>
  </w:style>
  <w:style w:type="character" w:styleId="2">
    <w:name w:val="Красная строка 2 Знак"/>
    <w:basedOn w:val="Style18"/>
    <w:qFormat/>
    <w:rPr/>
  </w:style>
  <w:style w:type="character" w:styleId="Style19">
    <w:name w:val="Текст сноски Знак"/>
    <w:basedOn w:val="Style13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20">
    <w:name w:val="Верхний колонтитул Знак"/>
    <w:qFormat/>
    <w:rPr>
      <w:sz w:val="24"/>
      <w:szCs w:val="24"/>
    </w:rPr>
  </w:style>
  <w:style w:type="character" w:styleId="Style21">
    <w:name w:val="Знак примечания"/>
    <w:qFormat/>
    <w:rPr>
      <w:sz w:val="16"/>
      <w:szCs w:val="16"/>
    </w:rPr>
  </w:style>
  <w:style w:type="character" w:styleId="Style22">
    <w:name w:val="Текст примечания Знак"/>
    <w:basedOn w:val="Style13"/>
    <w:qFormat/>
    <w:rPr/>
  </w:style>
  <w:style w:type="character" w:styleId="Style23">
    <w:name w:val="Тема примечания Знак"/>
    <w:qFormat/>
    <w:rPr>
      <w:b/>
      <w:bCs/>
    </w:rPr>
  </w:style>
  <w:style w:type="character" w:styleId="Style24">
    <w:name w:val="Абзац списка Знак"/>
    <w:qFormat/>
    <w:rPr>
      <w:sz w:val="24"/>
      <w:szCs w:val="24"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autoSpaceDE w:val="false"/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5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6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7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9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21">
    <w:name w:val="Красная строка 2"/>
    <w:basedOn w:val="BodyTextIndent"/>
    <w:qFormat/>
    <w:pPr>
      <w:widowControl w:val="false"/>
      <w:autoSpaceDE w:val="false"/>
      <w:spacing w:before="0" w:after="0"/>
      <w:ind w:firstLine="360" w:start="360" w:end="0"/>
    </w:pPr>
    <w:rPr/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paragraph" w:styleId="Style30">
    <w:name w:val="Текст примечания"/>
    <w:basedOn w:val="Normal"/>
    <w:qFormat/>
    <w:pPr/>
    <w:rPr>
      <w:sz w:val="20"/>
      <w:szCs w:val="20"/>
    </w:rPr>
  </w:style>
  <w:style w:type="paragraph" w:styleId="Style31">
    <w:name w:val="Тема примечания"/>
    <w:basedOn w:val="Style30"/>
    <w:next w:val="Style30"/>
    <w:qFormat/>
    <w:pPr/>
    <w:rPr>
      <w:b/>
      <w:bCs/>
      <w:lang w:val="en-US"/>
    </w:rPr>
  </w:style>
  <w:style w:type="paragraph" w:styleId="Style32">
    <w:name w:val="Подподпункт"/>
    <w:basedOn w:val="Normal"/>
    <w:qFormat/>
    <w:pPr>
      <w:numPr>
        <w:ilvl w:val="0"/>
        <w:numId w:val="3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33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2025-12-12T07:53:00Z</dcterms:created>
  <dc:creator/>
  <dc:description/>
  <cp:keywords/>
  <dc:language>en-US</dc:language>
  <cp:lastModifiedBy/>
  <dcterms:modified xsi:type="dcterms:W3CDTF">2025-12-12T07:53:00Z</dcterms:modified>
  <cp:revision>1</cp:revision>
  <dc:subject/>
  <dc:title>Протокол вскрытия конвертов</dc:title>
</cp:coreProperties>
</file>