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60" w:after="0"/>
        <w:jc w:val="center"/>
        <w:rPr>
          <w:rFonts w:ascii="Liberation Serif" w:hAnsi="Liberation Serif" w:cs="Liberation Serif"/>
          <w:b/>
          <w:sz w:val="22"/>
          <w:szCs w:val="22"/>
        </w:rPr>
      </w:pPr>
      <w:r>
        <w:rPr>
          <w:rFonts w:cs="Liberation Serif" w:ascii="Liberation Serif" w:hAnsi="Liberation Serif"/>
          <w:b/>
          <w:sz w:val="22"/>
          <w:szCs w:val="22"/>
        </w:rPr>
        <w:t>ПРОТОКОЛ</w:t>
      </w:r>
    </w:p>
    <w:p>
      <w:pPr>
        <w:pStyle w:val="Normal"/>
        <w:jc w:val="center"/>
        <w:rPr>
          <w:rFonts w:ascii="Liberation Serif" w:hAnsi="Liberation Serif" w:cs="Liberation Serif"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  <w:t xml:space="preserve">заседания Закупочной комиссии </w:t>
      </w:r>
      <w:bookmarkStart w:id="0" w:name="OLE_LINK6"/>
      <w:bookmarkStart w:id="1" w:name="OLE_LINK5"/>
      <w:r>
        <w:rPr>
          <w:rFonts w:cs="Liberation Serif" w:ascii="Liberation Serif" w:hAnsi="Liberation Serif"/>
          <w:sz w:val="22"/>
          <w:szCs w:val="22"/>
        </w:rPr>
        <w:t>по вскрытию конвертов</w:t>
      </w:r>
    </w:p>
    <w:p>
      <w:pPr>
        <w:pStyle w:val="Normal"/>
        <w:jc w:val="center"/>
        <w:rPr>
          <w:rFonts w:ascii="Liberation Serif" w:hAnsi="Liberation Serif" w:cs="Liberation Serif"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  <w:t xml:space="preserve">с </w:t>
      </w:r>
      <w:bookmarkEnd w:id="0"/>
      <w:bookmarkEnd w:id="1"/>
      <w:r>
        <w:rPr>
          <w:rFonts w:cs="Liberation Serif" w:ascii="Liberation Serif" w:hAnsi="Liberation Serif"/>
          <w:sz w:val="22"/>
          <w:szCs w:val="22"/>
        </w:rPr>
        <w:t>заявками на участие в закупке</w:t>
      </w:r>
    </w:p>
    <w:p>
      <w:pPr>
        <w:pStyle w:val="Normal"/>
        <w:spacing w:before="120" w:after="240"/>
        <w:jc w:val="center"/>
        <w:rPr/>
      </w:pPr>
      <w:r>
        <w:rPr>
          <w:rFonts w:cs="Liberation Serif" w:ascii="Liberation Serif" w:hAnsi="Liberation Serif"/>
          <w:b/>
          <w:sz w:val="22"/>
          <w:szCs w:val="22"/>
        </w:rPr>
        <w:t>г. </w:t>
      </w:r>
      <w:r>
        <w:rPr/>
        <w:t>Москва</w:t>
      </w:r>
    </w:p>
    <w:tbl>
      <w:tblPr>
        <w:tblW w:w="101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61"/>
        <w:gridCol w:w="5812"/>
      </w:tblGrid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Номер Протокола: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№</w:t>
            </w:r>
            <w:r>
              <w:rPr>
                <w:rFonts w:cs="Liberation Serif" w:ascii="Liberation Serif" w:hAnsi="Liberation Serif"/>
                <w:sz w:val="22"/>
                <w:szCs w:val="22"/>
              </w:rPr>
              <w:t>221408/ОЗП(ЭТП)-ПВК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Способ закупки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открытый запрос предложений (ЭТП)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Предмет закупки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Лот 1: Проведение эксплуатационного контроля металла оборудования для Костромской ГРЭС, 520.25.00507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Дата/время проведения заседания: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«15» декабря 2025 г. 12:00 (</w:t>
            </w:r>
            <w:r>
              <w:rPr>
                <w:rFonts w:cs="Liberation Serif" w:ascii="Liberation Serif" w:hAnsi="Liberation Serif"/>
                <w:i/>
                <w:sz w:val="22"/>
                <w:szCs w:val="22"/>
              </w:rPr>
              <w:t>по московскому времени)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Дата подписания протокола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«15» декабря 2025 г.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Начальная (максимальная) цена: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Лот 1: 16 237 590,00 руб. без НДС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Участниками могут быть только субъекты МСП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нет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Объем, цена закупаемых товаров, работ, услуг, срок исполнения договора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в соответствии с Закупочной документацией</w:t>
            </w:r>
          </w:p>
        </w:tc>
      </w:tr>
    </w:tbl>
    <w:p>
      <w:pPr>
        <w:pStyle w:val="Normal"/>
        <w:spacing w:before="120" w:after="120"/>
        <w:ind w:firstLine="709" w:end="0"/>
        <w:rPr>
          <w:rFonts w:ascii="Liberation Serif" w:hAnsi="Liberation Serif" w:cs="Liberation Serif"/>
          <w:b/>
          <w:sz w:val="22"/>
          <w:szCs w:val="22"/>
        </w:rPr>
      </w:pPr>
      <w:r>
        <w:rPr>
          <w:rFonts w:cs="Liberation Serif" w:ascii="Liberation Serif" w:hAnsi="Liberation Serif"/>
          <w:b/>
          <w:sz w:val="22"/>
          <w:szCs w:val="22"/>
        </w:rPr>
        <w:t xml:space="preserve">ВОПРОСЫ ЗАСЕДАНИЯ ЗАКУПОЧНОЙ КОМИССИИ: </w:t>
      </w:r>
    </w:p>
    <w:p>
      <w:pPr>
        <w:pStyle w:val="Normal"/>
        <w:spacing w:before="120" w:after="120"/>
        <w:ind w:firstLine="709" w:end="0"/>
        <w:rPr>
          <w:rFonts w:ascii="Liberation Serif" w:hAnsi="Liberation Serif" w:cs="Liberation Serif"/>
          <w:i/>
          <w:i/>
          <w:sz w:val="22"/>
          <w:szCs w:val="22"/>
        </w:rPr>
      </w:pPr>
      <w:r>
        <w:rPr>
          <w:rFonts w:cs="Liberation Serif" w:ascii="Liberation Serif" w:hAnsi="Liberation Serif"/>
          <w:i/>
          <w:sz w:val="22"/>
          <w:szCs w:val="22"/>
        </w:rPr>
        <w:t xml:space="preserve">На участие в закупке было подано: 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"/>
        <w:gridCol w:w="4114"/>
        <w:gridCol w:w="5245"/>
      </w:tblGrid>
      <w:tr>
        <w:trPr>
          <w:tblHeader w:val="true"/>
          <w:trHeight w:val="473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№</w:t>
            </w:r>
          </w:p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п/п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Порядковый номер Участника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Дата и время регистрации заявки, Общая цена заявки на участие в закупке</w:t>
            </w:r>
          </w:p>
        </w:tc>
      </w:tr>
      <w:tr>
        <w:trPr>
          <w:tblHeader w:val="true"/>
          <w:trHeight w:val="275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34" w:end="0"/>
              <w:jc w:val="center"/>
              <w:rPr>
                <w:rFonts w:ascii="Liberation Serif" w:hAnsi="Liberation Serif" w:cs="Liberation Serif"/>
                <w:i/>
                <w:i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i/>
                <w:sz w:val="22"/>
                <w:szCs w:val="22"/>
              </w:rPr>
              <w:t>1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i/>
                <w:i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i/>
                <w:sz w:val="22"/>
                <w:szCs w:val="22"/>
              </w:rPr>
              <w:t>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i/>
                <w:i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i/>
                <w:sz w:val="22"/>
                <w:szCs w:val="22"/>
              </w:rPr>
              <w:t>5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i/>
                <w:sz w:val="22"/>
                <w:szCs w:val="22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Участник 1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  <w:u w:val="single"/>
              </w:rPr>
              <w:t>Дата и время регистрации заявки</w:t>
            </w:r>
            <w:r>
              <w:rPr>
                <w:rFonts w:cs="Liberation Serif" w:ascii="Liberation Serif" w:hAnsi="Liberation Serif"/>
                <w:sz w:val="22"/>
                <w:szCs w:val="22"/>
              </w:rPr>
              <w:t>:</w:t>
            </w:r>
          </w:p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11.12.2025 17:34:54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>
                <w:rFonts w:cs="Liberation Serif" w:ascii="Liberation Serif" w:hAnsi="Liberation Serif"/>
                <w:sz w:val="22"/>
                <w:szCs w:val="22"/>
                <w:u w:val="single"/>
              </w:rPr>
              <w:t>Общая цена заявки на участие в закупке</w:t>
            </w:r>
            <w:r>
              <w:rPr>
                <w:rFonts w:cs="Liberation Serif" w:ascii="Liberation Serif" w:hAnsi="Liberation Serif"/>
                <w:sz w:val="22"/>
                <w:szCs w:val="22"/>
              </w:rPr>
              <w:t>: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16 237 590,00 руб. без НДС</w:t>
            </w:r>
          </w:p>
          <w:p>
            <w:pPr>
              <w:pStyle w:val="Normal"/>
              <w:widowControl w:val="false"/>
              <w:jc w:val="both"/>
              <w:rPr/>
            </w:pPr>
            <w:r>
              <w:rPr>
                <w:rFonts w:cs="Liberation Serif" w:ascii="Liberation Serif" w:hAnsi="Liberation Serif"/>
                <w:sz w:val="22"/>
                <w:szCs w:val="22"/>
                <w:u w:val="single"/>
              </w:rPr>
              <w:t>Обеспечение исполнения обязательств, связанных с подачей заявки на участие в закупке (п.13 Извещения)</w:t>
            </w:r>
            <w:r>
              <w:rPr>
                <w:rFonts w:cs="Liberation Serif" w:ascii="Liberation Serif" w:hAnsi="Liberation Serif"/>
                <w:sz w:val="22"/>
                <w:szCs w:val="22"/>
              </w:rPr>
              <w:t>:</w:t>
            </w:r>
          </w:p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/>
                <w:sz w:val="22"/>
                <w:szCs w:val="22"/>
              </w:rPr>
              <w:t>предоставлено</w:t>
            </w:r>
          </w:p>
        </w:tc>
      </w:tr>
    </w:tbl>
    <w:p>
      <w:pPr>
        <w:pStyle w:val="Normal"/>
        <w:numPr>
          <w:ilvl w:val="0"/>
          <w:numId w:val="3"/>
        </w:numPr>
        <w:spacing w:before="120" w:after="120"/>
        <w:ind w:firstLine="709" w:start="0" w:end="0"/>
        <w:jc w:val="both"/>
        <w:rPr>
          <w:rFonts w:ascii="Liberation Serif" w:hAnsi="Liberation Serif" w:cs="Liberation Serif"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  <w:t>Результаты рассмотрения заявок: не предусмотрено этапом закупки.</w:t>
      </w:r>
    </w:p>
    <w:p>
      <w:pPr>
        <w:pStyle w:val="Normal"/>
        <w:numPr>
          <w:ilvl w:val="0"/>
          <w:numId w:val="3"/>
        </w:numPr>
        <w:spacing w:before="120" w:after="120"/>
        <w:ind w:firstLine="709" w:start="0" w:end="0"/>
        <w:jc w:val="both"/>
        <w:rPr>
          <w:rFonts w:ascii="Liberation Serif" w:hAnsi="Liberation Serif" w:cs="Liberation Serif"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  <w:t>Результаты оценки заявок: не предусмотрено этапом закупки.</w:t>
      </w:r>
    </w:p>
    <w:p>
      <w:pPr>
        <w:pStyle w:val="Normal"/>
        <w:spacing w:before="120" w:after="120"/>
        <w:ind w:start="709" w:end="0"/>
        <w:jc w:val="both"/>
        <w:rPr>
          <w:rFonts w:ascii="Liberation Serif" w:hAnsi="Liberation Serif" w:cs="Liberation Serif"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</w:r>
    </w:p>
    <w:p>
      <w:pPr>
        <w:pStyle w:val="Normal"/>
        <w:spacing w:before="120" w:after="120"/>
        <w:ind w:firstLine="709" w:end="0"/>
        <w:jc w:val="both"/>
        <w:rPr>
          <w:rFonts w:ascii="Liberation Serif" w:hAnsi="Liberation Serif" w:cs="Liberation Serif"/>
          <w:sz w:val="22"/>
          <w:szCs w:val="22"/>
          <w:lang w:val="en-US"/>
        </w:rPr>
      </w:pPr>
      <w:r>
        <w:rPr>
          <w:rFonts w:cs="Liberation Serif" w:ascii="Liberation Serif" w:hAnsi="Liberation Serif"/>
          <w:sz w:val="22"/>
          <w:szCs w:val="22"/>
          <w:lang w:val="en-US"/>
        </w:rPr>
      </w:r>
    </w:p>
    <w:sectPr>
      <w:headerReference w:type="default" r:id="rId2"/>
      <w:headerReference w:type="first" r:id="rId3"/>
      <w:type w:val="nextPage"/>
      <w:pgSz w:w="11906" w:h="16838"/>
      <w:pgMar w:left="1134" w:right="851" w:gutter="0" w:header="709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HeliosCond">
    <w:altName w:val="Franklin Gothic Medium Cond"/>
    <w:charset w:val="cc" w:characterSet="windows-125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1907" w:type="dxa"/>
      <w:jc w:val="start"/>
      <w:tblInd w:w="-1026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1907"/>
    </w:tblGrid>
    <w:tr>
      <w:trPr>
        <w:trHeight w:val="991" w:hRule="atLeast"/>
      </w:trPr>
      <w:tc>
        <w:tcPr>
          <w:tcW w:w="11907" w:type="dxa"/>
          <w:tcBorders/>
          <w:vAlign w:val="center"/>
        </w:tcPr>
        <w:p>
          <w:pPr>
            <w:pStyle w:val="Normal"/>
            <w:widowControl w:val="false"/>
            <w:tabs>
              <w:tab w:val="clear" w:pos="708"/>
              <w:tab w:val="left" w:pos="907" w:leader="none"/>
              <w:tab w:val="left" w:pos="8931" w:leader="none"/>
            </w:tabs>
            <w:autoSpaceDE w:val="false"/>
            <w:jc w:val="center"/>
            <w:rPr>
              <w:lang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2162175" cy="6953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9" r="-3" b="-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2175" cy="695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707" w:hRule="atLeast"/>
      </w:trPr>
      <w:tc>
        <w:tcPr>
          <w:tcW w:w="11907" w:type="dxa"/>
          <w:tcBorders/>
          <w:vAlign w:val="center"/>
        </w:tcPr>
        <w:p>
          <w:pPr>
            <w:pStyle w:val="Normal"/>
            <w:tabs>
              <w:tab w:val="clear" w:pos="708"/>
              <w:tab w:val="left" w:pos="8931" w:leader="none"/>
            </w:tabs>
            <w:ind w:start="1168" w:end="1167"/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Большая Пироговская ул., д. 27, стр. 3, г. Москва, Россия, 119435</w:t>
          </w:r>
        </w:p>
        <w:p>
          <w:pPr>
            <w:pStyle w:val="Normal"/>
            <w:tabs>
              <w:tab w:val="clear" w:pos="708"/>
              <w:tab w:val="left" w:pos="8931" w:leader="none"/>
            </w:tabs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Телефон: +7 (495) 664 8840, Факс: +7 (495) 664 8841</w:t>
          </w:r>
        </w:p>
        <w:p>
          <w:pPr>
            <w:pStyle w:val="Normal"/>
            <w:widowControl w:val="false"/>
            <w:tabs>
              <w:tab w:val="clear" w:pos="708"/>
              <w:tab w:val="left" w:pos="8931" w:leader="none"/>
            </w:tabs>
            <w:autoSpaceDE w:val="false"/>
            <w:ind w:start="1168" w:end="1167"/>
            <w:jc w:val="center"/>
            <w:rPr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www.interrao-zakupki.ru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>
        <w:i w:val="false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  <w:szCs w:val="28"/>
    </w:rPr>
  </w:style>
  <w:style w:type="character" w:styleId="WW8Num2z0">
    <w:name w:val="WW8Num2z0"/>
    <w:qFormat/>
    <w:rPr>
      <w:sz w:val="20"/>
      <w:szCs w:val="20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i w:val="false"/>
      <w:color w:val="000000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7z0">
    <w:name w:val="WW8Num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9z0">
    <w:name w:val="WW8Num9z0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1z0">
    <w:name w:val="WW8Num11z0"/>
    <w:qFormat/>
    <w:rPr>
      <w:sz w:val="20"/>
      <w:szCs w:val="20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4z0">
    <w:name w:val="WW8Num14z0"/>
    <w:qFormat/>
    <w:rPr>
      <w:sz w:val="20"/>
      <w:szCs w:val="20"/>
    </w:rPr>
  </w:style>
  <w:style w:type="character" w:styleId="WW8Num15z0">
    <w:name w:val="WW8Num15z0"/>
    <w:qFormat/>
    <w:rPr/>
  </w:style>
  <w:style w:type="character" w:styleId="WW8Num15z1">
    <w:name w:val="WW8Num15z1"/>
    <w:qFormat/>
    <w:rPr>
      <w:color w:val="000000"/>
    </w:rPr>
  </w:style>
  <w:style w:type="character" w:styleId="WW8Num16z0">
    <w:name w:val="WW8Num16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9z0">
    <w:name w:val="WW8Num19z0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комментарий"/>
    <w:qFormat/>
    <w:rPr>
      <w:b/>
      <w:i/>
      <w:shd w:fill="FFFF99" w:val="clear"/>
    </w:rPr>
  </w:style>
  <w:style w:type="character" w:styleId="Style15">
    <w:name w:val="Комментраий Знак"/>
    <w:qFormat/>
    <w:rPr>
      <w:i/>
      <w:color w:val="3366FF"/>
      <w:sz w:val="28"/>
      <w:szCs w:val="28"/>
      <w:lang w:val="ru-RU" w:bidi="ar-SA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Знак примечания"/>
    <w:qFormat/>
    <w:rPr>
      <w:sz w:val="16"/>
      <w:szCs w:val="16"/>
    </w:rPr>
  </w:style>
  <w:style w:type="character" w:styleId="Style18">
    <w:name w:val="Текст примечания Знак"/>
    <w:basedOn w:val="Style13"/>
    <w:qFormat/>
    <w:rPr/>
  </w:style>
  <w:style w:type="character" w:styleId="Style19">
    <w:name w:val="Тема примечания Знак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0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  <w:szCs w:val="20"/>
    </w:rPr>
  </w:style>
  <w:style w:type="paragraph" w:styleId="Style21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Style2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Style2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4">
    <w:name w:val="Текст примечания"/>
    <w:basedOn w:val="Normal"/>
    <w:qFormat/>
    <w:pPr/>
    <w:rPr>
      <w:sz w:val="20"/>
      <w:szCs w:val="20"/>
    </w:rPr>
  </w:style>
  <w:style w:type="paragraph" w:styleId="Style25">
    <w:name w:val="Тема примечания"/>
    <w:basedOn w:val="Style24"/>
    <w:next w:val="Style24"/>
    <w:qFormat/>
    <w:pPr/>
    <w:rPr>
      <w:b/>
      <w:bCs/>
      <w:lang w:val="en-US"/>
    </w:rPr>
  </w:style>
  <w:style w:type="paragraph" w:styleId="Style26">
    <w:name w:val="Абзац списка"/>
    <w:basedOn w:val="Normal"/>
    <w:qFormat/>
    <w:pPr>
      <w:ind w:hanging="0" w:start="720" w:end="0"/>
    </w:pPr>
    <w:rPr>
      <w:rFonts w:ascii="Calibri" w:hAnsi="Calibri" w:eastAsia="Calibri" w:cs="Calibri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2025-12-15T10:33:00Z</dcterms:created>
  <dc:creator/>
  <dc:description/>
  <cp:keywords/>
  <dc:language>en-US</dc:language>
  <cp:lastModifiedBy/>
  <dcterms:modified xsi:type="dcterms:W3CDTF">2025-12-15T10:33:00Z</dcterms:modified>
  <cp:revision>1</cp:revision>
  <dc:subject/>
  <dc:title>Протокол вскрытия конвертов</dc:title>
</cp:coreProperties>
</file>