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0" w:leader="none"/>
          <w:tab w:val="left" w:pos="708" w:leader="none"/>
        </w:tabs>
        <w:ind w:hanging="25"/>
        <w:jc w:val="center"/>
        <w:rPr/>
      </w:pPr>
      <w:r>
        <w:rPr>
          <w:sz w:val="28"/>
          <w:szCs w:val="28"/>
        </w:rPr>
        <w:t xml:space="preserve">ПРОТОКОЛ ЗАСЕДАНИЯ ЗАКУПОЧНОЙ КОМИССИИ </w:t>
        <w:br/>
        <w:t>АВТОНОМНОЕ УЧРЕЖДЕНИЕ РЕСПУБЛИКИ БУРЯТИЯ "РЕСПУБЛИКАНСКИЙ КЛИНИЧЕСКИЙ ГОСПИТАЛЬ ДЛЯ ВЕТЕРАНОВ ВОЙН" № 32515426432</w:t>
      </w:r>
    </w:p>
    <w:p>
      <w:pPr>
        <w:pStyle w:val="Normal"/>
        <w:spacing w:before="170" w:after="0"/>
        <w:ind w:firstLine="850"/>
        <w:jc w:val="right"/>
        <w:rPr/>
      </w:pPr>
      <w:r>
        <w:rPr/>
        <w:t xml:space="preserve">Дата подписания протокола: 28.11.2025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Повестка: </w:t>
      </w:r>
      <w:bookmarkStart w:id="0" w:name="__DdeLink__4360_2055996328"/>
      <w:r>
        <w:rPr/>
        <w:t>Протокол рассмотрения и оценки заявок на участие в запросе котировок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 заседании комиссии присутствовали: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4394"/>
        <w:gridCol w:w="4817"/>
      </w:tblGrid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Роль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Гатапова Анна Станиславо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Председатель комиссии]]>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Тарнуева Ирина Кирилло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Член комиссии]]>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Волчугова Евгения Аркадье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Секретарь]]></w:t>
            </w:r>
          </w:p>
        </w:tc>
      </w:tr>
    </w:tbl>
    <w:p>
      <w:pPr>
        <w:pStyle w:val="Normal"/>
        <w:shd w:val="clear" w:color="000000" w:themeTint="0" w:themeShade="0" w:fill="FFFFFF" w:themeFillTint="0" w:themeFillShade="0"/>
        <w:tabs>
          <w:tab w:val="left" w:pos="0" w:leader="none"/>
          <w:tab w:val="left" w:pos="192" w:leader="none"/>
          <w:tab w:val="left" w:pos="282" w:leader="none"/>
          <w:tab w:val="left" w:pos="708" w:leader="none"/>
          <w:tab w:val="left" w:pos="1108" w:leader="none"/>
          <w:tab w:val="left" w:pos="2024" w:leader="none"/>
          <w:tab w:val="left" w:pos="2940" w:leader="none"/>
          <w:tab w:val="left" w:pos="3856" w:leader="none"/>
          <w:tab w:val="left" w:pos="4772" w:leader="none"/>
          <w:tab w:val="left" w:pos="5688" w:leader="none"/>
          <w:tab w:val="left" w:pos="6604" w:leader="none"/>
          <w:tab w:val="left" w:pos="7520" w:leader="none"/>
          <w:tab w:val="left" w:pos="8436" w:leader="none"/>
          <w:tab w:val="left" w:pos="9352" w:leader="none"/>
          <w:tab w:val="left" w:pos="10268" w:leader="none"/>
          <w:tab w:val="left" w:pos="11184" w:leader="none"/>
          <w:tab w:val="left" w:pos="12100" w:leader="none"/>
        </w:tabs>
        <w:spacing w:lineRule="atLeast" w:line="100"/>
        <w:ind w:firstLine="426"/>
        <w:jc w:val="both"/>
        <w:textAlignment w:val="baseline"/>
        <w:rPr>
          <w:rFonts w:ascii="Times New Roman" w:hAnsi="Times New Roman" w:eastAsia="Calibri" w:cs="Times New Roman"/>
          <w:color w:val="000000"/>
          <w:sz w:val="24"/>
          <w:szCs w:val="24"/>
          <w:lang w:val="ru-RU" w:eastAsia="ru-RU" w:bidi="ar-SA"/>
        </w:rPr>
      </w:pPr>
      <w:r>
        <w:rPr>
          <w:rFonts w:eastAsia="Calibri" w:cs="Times New Roman"/>
          <w:color w:val="000000"/>
          <w:sz w:val="24"/>
          <w:szCs w:val="24"/>
          <w:lang w:val="ru-RU" w:eastAsia="ru-RU" w:bidi="ar-SA"/>
        </w:rPr>
      </w:r>
    </w:p>
    <w:p>
      <w:pPr>
        <w:pStyle w:val="Normal"/>
        <w:shd w:val="clear" w:color="000000" w:themeTint="0" w:themeShade="0" w:fill="FFFFFF" w:themeFillTint="0" w:themeFillShade="0"/>
        <w:tabs>
          <w:tab w:val="left" w:pos="0" w:leader="none"/>
          <w:tab w:val="left" w:pos="198" w:leader="none"/>
          <w:tab w:val="left" w:pos="283" w:leader="none"/>
          <w:tab w:val="left" w:pos="708" w:leader="none"/>
          <w:tab w:val="left" w:pos="1114" w:leader="none"/>
          <w:tab w:val="left" w:pos="2030" w:leader="none"/>
          <w:tab w:val="left" w:pos="2946" w:leader="none"/>
          <w:tab w:val="left" w:pos="3862" w:leader="none"/>
          <w:tab w:val="left" w:pos="4778" w:leader="none"/>
          <w:tab w:val="left" w:pos="5694" w:leader="none"/>
          <w:tab w:val="left" w:pos="6610" w:leader="none"/>
          <w:tab w:val="left" w:pos="7526" w:leader="none"/>
          <w:tab w:val="left" w:pos="8442" w:leader="none"/>
          <w:tab w:val="left" w:pos="9358" w:leader="none"/>
          <w:tab w:val="left" w:pos="10274" w:leader="none"/>
          <w:tab w:val="left" w:pos="11190" w:leader="none"/>
          <w:tab w:val="left" w:pos="12106" w:leader="none"/>
        </w:tabs>
        <w:spacing w:lineRule="auto" w:line="360"/>
        <w:jc w:val="both"/>
        <w:textAlignment w:val="baseline"/>
        <w:rPr/>
      </w:pPr>
      <w:r>
        <w:rPr>
          <w:rFonts w:eastAsia="Times New Roman"/>
          <w:color w:val="00000A"/>
          <w:shd w:fill="FFFFFF" w:val="clear"/>
        </w:rPr>
        <w:t>Кворум для принятия решения имеется.</w:t>
      </w:r>
    </w:p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1. Информация о процедуре</w:t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54"/>
        <w:gridCol w:w="5857"/>
      </w:tblGrid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Запрос котировок в электронной форме с 01.01.2019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Оказание услуг по проведению лабораторных исследований, измерений, испытаний в рамках производственного контроля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22"/>
              <w:shd w:val="clear" w:color="000000" w:themeTint="0" w:themeShade="0" w:fill="FFFFFF" w:themeFillTint="0" w:themeFillShade="0"/>
              <w:spacing w:before="0" w:after="0"/>
              <w:rPr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22"/>
              <w:shd w:val="clear" w:color="000000" w:themeTint="0" w:themeShade="0" w:fill="FFFFFF" w:themeFillTint="0" w:themeFillShade="0"/>
              <w:spacing w:before="0" w:after="0"/>
              <w:rPr/>
            </w:pPr>
            <w:r>
              <w:rPr>
                <w:sz w:val="22"/>
                <w:szCs w:val="22"/>
                <w:lang w:val="ru-RU"/>
              </w:rPr>
              <w:t>E1002295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20.11.2025 13:48:23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http://estp.ru</w:t>
            </w:r>
          </w:p>
        </w:tc>
      </w:tr>
    </w:tbl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42"/>
        <w:gridCol w:w="5869"/>
      </w:tblGrid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АВТОНОМНОЕ УЧРЕЖДЕНИЕ РЕСПУБЛИКИ БУРЯТИЯ "РЕСПУБЛИКАНСКИЙ КЛИНИЧЕСКИЙ ГОСПИТАЛЬ ДЛЯ ВЕТЕРАНОВ ВОЙН"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0323054243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032301001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1020300904194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670047 г Улан-Удэ, ул Пирогова, д 30А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670047, Российская Федерация, Республика Бурятия, г. Улан-Удэ, ул. Пирогова, 30 А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spacing w:before="0" w:after="0"/>
              <w:rPr/>
            </w:pPr>
            <w:r>
              <w:rPr>
                <w:sz w:val="22"/>
                <w:szCs w:val="22"/>
                <w:shd w:fill="FFFFFF" w:val="clear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<![CDATA[7-3012-435360]]></w:t>
            </w:r>
          </w:p>
        </w:tc>
      </w:tr>
    </w:tbl>
    <w:p/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9212"/>
      </w:tblGrid>
      <w:tr>
        <w:trPr/>
        <w:tc>
          <w:tcPr>
            <w:tcW w:w="9212" w:type="dxa"/>
            <w:tcBorders/>
            <w:shd w:fill="auto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<![CDATA[3.1 ]]>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<![CDATA[E1002295-1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<![CDATA[3.1.1 ]]></w:t>
            </w:r>
            <w:r>
              <w:rPr>
                <w:lang w:eastAsia="en-US"/>
              </w:rPr>
              <w:t>Общие сведения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 w:eastAsia="en-US" w:bidi="ar-SA"/>
              </w:rPr>
            </w:r>
          </w:p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3354"/>
              <w:gridCol w:w="5857"/>
            </w:tblGrid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</w:rPr>
                    <w:t><![CDATA[Оказание услуг по проведению лабораторных исследований, измерений, испытаний в рамках производственного контроля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168 618,00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Российский рубль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Место 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rFonts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  <w:t/>
                    <w:br/>
                    <w:t><![CDATA[670047, Российская Федерация, Республика Бурятия, г. Улан-Удэ, ул. Пирогова, 30 А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/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/>
                    <w:t><![CDATA[31.12.2025]]>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lang w:eastAsia="en-US"/>
              </w:rPr>
              <w:t><![CDATA[3.1.2 Сведения об объеме закупаемых товаров, работ, услуг]]></w:t>
            </w:r>
          </w:p>
          <w:p>
            <w:pPr>
              <w:pStyle w:val="Normal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top w:w="0" w:type="dxa"/>
                <w:left w:w="18" w:type="dxa"/>
                <w:bottom w:w="0" w:type="dxa"/>
                <w:right w:w="108" w:type="dxa"/>
              </w:tblCellMar>
            </w:tblPr>
            <w:tblGrid>
              <w:gridCol w:w="2301"/>
              <w:gridCol w:w="2303"/>
              <w:gridCol w:w="2301"/>
              <w:gridCol w:w="2306"/>
            </w:tblGrid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<![CDATA[71.20.1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Испытания и анализ состава и чистоты материалов и веществ: анализ химических и биологических свойств материалов и веществ; испытания и анализ в области гигиены питания, включая ветеринарный контроль и контроль за производством продуктов питания]]>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bookmarkStart w:id="1" w:name="__DdeLink__297_1642196365"/>
                  <w:bookmarkEnd w:id="1"/>
                  <w:r>
                    <w:rPr>
                      <w:sz w:val="22"/>
                      <w:szCs w:val="22"/>
                      <w:lang w:val="en-US" w:eastAsia="en-US"/>
                    </w:rPr>
                    <w:t><![CDATA[86.90.19.110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Услуги организаций санитарно-эпидемиологической службы]]>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<![CDATA[1]]>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Условная единица]]></w:t>
                  </w:r>
                </w:p>
              </w:tc>
            </w:tr>
          </w:tbl>
          <w:p/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3.</w:t>
            </w:r>
            <w:r>
              <w:rPr>
                <w:lang w:eastAsia="en-US"/>
              </w:rPr>
              <w:t><![CDATA[1]]></w:t>
            </w:r>
            <w:r>
              <w:rPr/>
              <w:t>.3 Сведения о рассмотренных заявках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9210" w:type="dxa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1751"/>
              <w:gridCol w:w="1939"/>
              <w:gridCol w:w="4016"/>
              <w:gridCol w:w="1503"/>
            </w:tblGrid>
            <w:tr>
              <w:trPr/>
              <w:tc>
                <w:tcPr>
                  <w:tcW w:w="175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jc w:val="center"/>
                    <w:rPr/>
                  </w:pPr>
                  <w:r>
                    <w:rPr/>
                    <w:t><![CDATA[927099]]>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1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<![CDATA[27.11.2025  06:34:05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 w:eastAsia="en-US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168 618,00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Валюта предложения: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Российский рубль]]></w:t>
                  </w:r>
                </w:p>
              </w:tc>
            </w:tr>
            <w:tr>
              <w:trPr>
                <w:trHeight w:val="363" w:hRule="atLeast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Одобрена]]></w:t>
                  </w:r>
                </w:p>
              </w:tc>
            </w:tr>
          </w:tbl>
          <w:p/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  <w:t><![CDATA[Количество поданных заявок: 1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  <w:t><![CDATA[Количество отклоненных заявок: 0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/>
            </w:pPr>
            <w:r>
              <w:rPr>
                <w:lang w:eastAsia="en-US"/>
              </w:rPr>
              <w:t><![CDATA[3.1.4 Решение по лоту]]></w:t>
            </w:r>
          </w:p>
          <w:p>
            <w:pPr>
              <w:pStyle w:val="Normal"/>
              <w:shd w:val="clear" w:color="000000" w:themeTint="0" w:themeShade="0" w:fill="FFFFFF" w:themeFillTint="0" w:themeFillShade="0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TextBody"/>
              <w:jc w:val="both"/>
              <w:rPr/>
            </w:pPr>
            <w:r>
              <w:rPr>
                <w:lang w:eastAsia="en-US"/>
              </w:rPr>
              <w:t><![CDATA[3.1.4.1 На основании результатов рассмотрения заявок на соответствие требованиям, установленным в документации к закупке, признать закупку по лоту несостоявшейся. Конкурентная закупка признана несостоявшейся в связи с тем, что на участие в закупке подана только одна заявка.]]></w:t>
            </w:r>
          </w:p>
          <w:p>
            <w:pPr>
              <w:pStyle w:val="TextBody"/>
              <w:jc w:val="both"/>
              <w:rPr>
                <w:rFonts w:eastAsia="Times New Roman"/>
                <w:color w:val="00000A"/>
                <w:highlight w:val="white"/>
                <w:lang w:val="en-US" w:eastAsia="en-US"/>
              </w:rPr>
            </w:pPr>
            <w:r>
              <w:rPr>
                <w:rFonts w:eastAsia="Times New Roman"/>
                <w:color w:val="00000A"/>
                <w:highlight w:val="white"/>
                <w:lang w:val="en-US" w:eastAsia="en-US"/>
              </w:rPr>
            </w:r>
          </w:p>
          <w:tbl>
            <w:tblPr>
              <w:tblW w:w="9212" w:type="dxa"/>
              <w:jc w:val="left"/>
              <w:tblInd w:w="0" w:type="dxa"/>
              <w:tblBorders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9212"/>
            </w:tblGrid>
            <w:tr>
              <w:trPr/>
              <w:tc>
                <w:tcPr>
                  <w:tcW w:w="9212" w:type="dxa"/>
                  <w:tcBorders/>
                  <w:shd w:fill="auto" w:val="clear"/>
                </w:tcPr>
                <w:p>
                  <w:pPr>
                    <w:pStyle w:val="Style22"/>
                    <w:rPr>
                      <w:lang w:val="en-US"/>
                    </w:rPr>
                  </w:pPr>
                  <w:r>
                    <w:rPr>
                      <w:lang w:val="en-US"/>
                    </w:rPr>
                  </w:r>
                </w:p>
              </w:tc>
            </w:tr>
          </w:tbl>
          <w:p>
            <w:pPr>
              <w:pStyle w:val="TextBody"/>
              <w:spacing w:before="0" w:after="12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highlight w:val="white"/>
                <w:lang w:val="en-US" w:eastAsia="en-US" w:bidi="ar-SA"/>
              </w:rPr>
            </w:pPr>
            <w:r>
              <w:rPr>
                <w:rFonts w:eastAsia="Times New Roman" w:cs="Times New Roman"/>
                <w:color w:val="00000A"/>
                <w:sz w:val="24"/>
                <w:szCs w:val="24"/>
                <w:highlight w:val="white"/>
                <w:lang w:val="en-US" w:eastAsia="en-US" w:bidi="ar-SA"/>
              </w:rPr>
            </w:r>
          </w:p>
        </w:tc>
      </w:tr>
    </w:tbl>
    <w:p/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4. Решение комиссии</w:t>
      </w:r>
    </w:p>
    <w:p>
      <w:pPr>
        <w:pStyle w:val="TextBody"/>
        <w:tabs>
          <w:tab w:val="left" w:pos="708" w:leader="none"/>
          <w:tab w:val="left" w:pos="851" w:leader="none"/>
        </w:tabs>
        <w:spacing w:before="0" w:after="0"/>
        <w:jc w:val="both"/>
        <w:rPr/>
      </w:pPr>
      <w:r>
        <w:rPr>
          <w:lang w:eastAsia="en-US"/>
        </w:rPr>
        <w:t>4.1.</w:t>
        <w:tab/>
        <w:t>На основании результатов подведения итогов, признать процедуру несостоявшейся. Принято решение: По лоту E1002295-1 заключить договор с участником  на сумму 168618.00 (Российский рубль).</w:t>
      </w:r>
    </w:p>
    <w:p>
      <w:pPr>
        <w:pStyle w:val="TextBody"/>
        <w:tabs>
          <w:tab w:val="left" w:pos="708" w:leader="none"/>
          <w:tab w:val="left" w:pos="851" w:leader="none"/>
        </w:tabs>
        <w:spacing w:before="0" w:after="0"/>
        <w:jc w:val="both"/>
        <w:rPr>
          <w:lang w:eastAsia="en-US"/>
        </w:rPr>
      </w:pPr>
      <w:r>
        <w:rPr>
          <w:lang w:eastAsia="en-US"/>
        </w:rPr>
      </w:r>
    </w:p>
    <w:tbl>
      <w:tblPr>
        <w:tblW w:w="5000" w:type="pct"/>
        <w:jc w:val="lef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3038"/>
        <w:gridCol w:w="3052"/>
        <w:gridCol w:w="3122"/>
      </w:tblGrid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/>
              <w:t xml:space="preserve"> </w:t>
            </w:r>
            <w:r>
              <w:rPr/>
              <w:t>Роль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Решение</w:t>
            </w:r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Председатель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Гатапова Анна Станиславо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Член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Тарнуева Ирина Кирилло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Секретарь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Волчугова Евгения Аркадье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43" w:right="851" w:header="0" w:top="567" w:footer="0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tabs>
        <w:tab w:val="clear" w:pos="709"/>
        <w:tab w:val="left" w:pos="708" w:leader="none"/>
      </w:tabs>
      <w:suppressAutoHyphens w:val="true"/>
      <w:bidi w:val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pPr>
      <w:widowControl w:val="false"/>
      <w:bidi w:val="0"/>
      <w:jc w:val="left"/>
      <w:outlineLvl w:val="0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paragraph" w:styleId="Heading2">
    <w:name w:val="Heading 2"/>
    <w:basedOn w:val="Normal"/>
    <w:qFormat/>
    <w:pPr>
      <w:widowControl w:val="false"/>
      <w:bidi w:val="0"/>
      <w:jc w:val="left"/>
      <w:outlineLvl w:val="1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paragraph" w:styleId="Heading3">
    <w:name w:val="Heading 3"/>
    <w:basedOn w:val="Normal"/>
    <w:qFormat/>
    <w:pPr>
      <w:widowControl w:val="false"/>
      <w:bidi w:val="0"/>
      <w:jc w:val="left"/>
      <w:outlineLvl w:val="2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Основной текст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2" w:customStyle="1">
    <w:name w:val="Основной текст (2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Style12" w:customStyle="1">
    <w:name w:val="Подпись к таблице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single"/>
      <w:vertAlign w:val="baseline"/>
      <w:lang w:val="ru-RU"/>
    </w:rPr>
  </w:style>
  <w:style w:type="character" w:styleId="1" w:customStyle="1">
    <w:name w:val="Основной текст1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21" w:customStyle="1">
    <w:name w:val="Подпись к таблице (2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11" w:customStyle="1">
    <w:name w:val="Заголовок №1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Style13" w:customStyle="1">
    <w:name w:val="Основной текст + Полужирный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4" w:customStyle="1">
    <w:name w:val="Основной текст (4) + Не полужирный;Не курсив"/>
    <w:qFormat/>
    <w:rPr>
      <w:rFonts w:ascii="Times New Roman" w:hAnsi="Times New Roman" w:eastAsia="Times New Roman" w:cs="Times New Roman"/>
      <w:b/>
      <w:bCs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  <w:lang w:val="ru-RU"/>
    </w:rPr>
  </w:style>
  <w:style w:type="character" w:styleId="41" w:customStyle="1">
    <w:name w:val="Основной текст (4)_"/>
    <w:qFormat/>
    <w:rPr>
      <w:rFonts w:ascii="Times New Roman" w:hAnsi="Times New Roman" w:eastAsia="Times New Roman" w:cs="Times New Roman"/>
      <w:i/>
      <w:iCs/>
      <w:sz w:val="20"/>
      <w:szCs w:val="20"/>
      <w:shd w:fill="FFFFFF" w:val="clear"/>
    </w:rPr>
  </w:style>
  <w:style w:type="character" w:styleId="Style14" w:customStyle="1">
    <w:name w:val="Основной текст + Полужирный;Курсив"/>
    <w:qFormat/>
    <w:rPr>
      <w:rFonts w:ascii="Times New Roman" w:hAnsi="Times New Roman" w:eastAsia="Times New Roman" w:cs="Times New Roman"/>
      <w:i/>
      <w:iCs/>
      <w:caps w:val="false"/>
      <w:smallCaps w:val="false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5" w:customStyle="1">
    <w:name w:val="Основной текст (5)_"/>
    <w:qFormat/>
    <w:rPr>
      <w:rFonts w:ascii="Times New Roman" w:hAnsi="Times New Roman" w:eastAsia="Times New Roman" w:cs="Times New Roman"/>
      <w:sz w:val="16"/>
      <w:szCs w:val="16"/>
      <w:shd w:fill="FFFFFF" w:val="clear"/>
    </w:rPr>
  </w:style>
  <w:style w:type="character" w:styleId="Style15" w:customStyle="1">
    <w:name w:val="Интернет-ссылка"/>
    <w:basedOn w:val="DefaultParagraphFont"/>
    <w:qFormat/>
    <w:rPr>
      <w:color w:val="0000FF"/>
      <w:u w:val="single"/>
      <w:lang w:val="ru-RU" w:eastAsia="ru-RU" w:bidi="ru-RU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16" w:customStyle="1">
    <w:name w:val="Текст примечания Знак"/>
    <w:basedOn w:val="DefaultParagraphFont"/>
    <w:qFormat/>
    <w:rPr>
      <w:rFonts w:ascii="Courier New" w:hAnsi="Courier New" w:eastAsia="Courier New" w:cs="Courier New"/>
      <w:color w:val="000000"/>
    </w:rPr>
  </w:style>
  <w:style w:type="character" w:styleId="Style17" w:customStyle="1">
    <w:name w:val="Тема примечания Знак"/>
    <w:basedOn w:val="Style16"/>
    <w:qFormat/>
    <w:rPr>
      <w:rFonts w:ascii="Courier New" w:hAnsi="Courier New" w:eastAsia="Courier New" w:cs="Courier New"/>
      <w:b/>
      <w:bCs/>
      <w:color w:val="000000"/>
    </w:rPr>
  </w:style>
  <w:style w:type="character" w:styleId="Style18" w:customStyle="1">
    <w:name w:val="Текст выноски Знак"/>
    <w:basedOn w:val="DefaultParagraphFont"/>
    <w:qFormat/>
    <w:rPr>
      <w:rFonts w:ascii="Segoe UI" w:hAnsi="Segoe UI" w:eastAsia="Courier New" w:cs="Segoe UI"/>
      <w:color w:val="000000"/>
      <w:sz w:val="18"/>
      <w:szCs w:val="18"/>
    </w:rPr>
  </w:style>
  <w:style w:type="character" w:styleId="ListLabel2" w:customStyle="1">
    <w:name w:val="ListLabel 2"/>
    <w:qFormat/>
    <w:rPr>
      <w:rFonts w:cs="Symbol"/>
    </w:rPr>
  </w:style>
  <w:style w:type="character" w:styleId="ListLabel3" w:customStyle="1">
    <w:name w:val="ListLabel 3"/>
    <w:qFormat/>
    <w:rPr>
      <w:rFonts w:cs="Symbol"/>
    </w:rPr>
  </w:style>
  <w:style w:type="character" w:styleId="ListLabel4" w:customStyle="1">
    <w:name w:val="ListLabel 4"/>
    <w:qFormat/>
    <w:rPr>
      <w:rFonts w:cs="Symbol"/>
    </w:rPr>
  </w:style>
  <w:style w:type="character" w:styleId="ListLabel5" w:customStyle="1">
    <w:name w:val="ListLabel 5"/>
    <w:qFormat/>
    <w:rPr>
      <w:rFonts w:cs="Symbol"/>
    </w:rPr>
  </w:style>
  <w:style w:type="character" w:styleId="ListLabel6" w:customStyle="1">
    <w:name w:val="ListLabel 6"/>
    <w:qFormat/>
    <w:rPr>
      <w:rFonts w:cs="Symbol"/>
    </w:rPr>
  </w:style>
  <w:style w:type="character" w:styleId="ListLabel7" w:customStyle="1">
    <w:name w:val="ListLabel 7"/>
    <w:qFormat/>
    <w:rPr>
      <w:rFonts w:cs="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 w:customStyle="1">
    <w:name w:val="Body Text"/>
    <w:basedOn w:val="Normal"/>
    <w:qFormat/>
    <w:pPr>
      <w:spacing w:lineRule="auto" w:line="288" w:before="0" w:after="140"/>
    </w:pPr>
    <w:rPr/>
  </w:style>
  <w:style w:type="paragraph" w:styleId="List">
    <w:name w:val="List"/>
    <w:basedOn w:val="TextBody"/>
    <w:qFormat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9" w:customStyle="1">
    <w:name w:val="Заголовок"/>
    <w:basedOn w:val="Normal"/>
    <w:qFormat/>
    <w:pPr>
      <w:keepNext w:val="true"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Style20" w:customStyle="1">
    <w:name w:val="Указатель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Title1" w:customStyle="1">
    <w:name w:val="Title1"/>
    <w:basedOn w:val="Normal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Indexheading">
    <w:name w:val="index heading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Style19"/>
    <w:qFormat/>
    <w:pPr>
      <w:jc w:val="center"/>
    </w:pPr>
    <w:rPr>
      <w:i/>
      <w:iCs/>
    </w:rPr>
  </w:style>
  <w:style w:type="paragraph" w:styleId="22" w:customStyle="1">
    <w:name w:val="Основной текст2"/>
    <w:basedOn w:val="Normal"/>
    <w:qFormat/>
    <w:pPr>
      <w:shd w:val="clear" w:fill="FFFFFF"/>
      <w:spacing w:lineRule="exact" w:line="250"/>
    </w:pPr>
    <w:rPr>
      <w:rFonts w:eastAsia="Times New Roman"/>
      <w:color w:val="00000A"/>
      <w:sz w:val="20"/>
      <w:szCs w:val="20"/>
      <w:lang w:val="en-US" w:eastAsia="en-US"/>
    </w:rPr>
  </w:style>
  <w:style w:type="paragraph" w:styleId="23" w:customStyle="1">
    <w:name w:val="Основной текст (2)"/>
    <w:basedOn w:val="Normal"/>
    <w:qFormat/>
    <w:pPr>
      <w:shd w:val="clear" w:fill="FFFFFF"/>
      <w:spacing w:lineRule="exact" w:line="490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styleId="24" w:customStyle="1">
    <w:name w:val="Подпись к таблице (2)"/>
    <w:basedOn w:val="Normal"/>
    <w:qFormat/>
    <w:pPr>
      <w:shd w:val="clear" w:fill="FFFFFF"/>
      <w:spacing w:lineRule="atLeast" w:line="10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styleId="12" w:customStyle="1">
    <w:name w:val="Заголовок №1"/>
    <w:basedOn w:val="Normal"/>
    <w:qFormat/>
    <w:pPr>
      <w:shd w:val="clear" w:fill="FFFFFF"/>
      <w:spacing w:lineRule="atLeast" w:line="100" w:before="180" w:after="120"/>
    </w:pPr>
    <w:rPr>
      <w:rFonts w:eastAsia="Times New Roman"/>
      <w:color w:val="00000A"/>
      <w:sz w:val="20"/>
      <w:szCs w:val="20"/>
      <w:lang w:val="en-US" w:eastAsia="en-US"/>
    </w:rPr>
  </w:style>
  <w:style w:type="paragraph" w:styleId="51" w:customStyle="1">
    <w:name w:val="Основной текст (5)"/>
    <w:basedOn w:val="Normal"/>
    <w:qFormat/>
    <w:pPr>
      <w:shd w:val="clear" w:fill="FFFFFF"/>
      <w:spacing w:lineRule="atLeast" w:line="100" w:before="480" w:after="60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styleId="42" w:customStyle="1">
    <w:name w:val="Основной текст (4)"/>
    <w:basedOn w:val="Normal"/>
    <w:qFormat/>
    <w:pPr>
      <w:shd w:val="clear" w:fill="FFFFFF"/>
      <w:spacing w:lineRule="exact" w:line="288" w:before="60" w:after="360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ConsPlusNormal" w:customStyle="1">
    <w:name w:val="ConsPlusNormal"/>
    <w:qFormat/>
    <w:pPr>
      <w:widowControl w:val="false"/>
      <w:tabs>
        <w:tab w:val="clear" w:pos="709"/>
        <w:tab w:val="left" w:pos="708" w:leader="none"/>
      </w:tabs>
      <w:suppressAutoHyphens w:val="true"/>
      <w:bidi w:val="0"/>
      <w:jc w:val="left"/>
    </w:pPr>
    <w:rPr>
      <w:rFonts w:ascii="Arial" w:hAnsi="Arial" w:eastAsia="Times New Roman" w:cs="Arial"/>
      <w:color w:val="00000A"/>
      <w:kern w:val="0"/>
      <w:sz w:val="24"/>
      <w:szCs w:val="20"/>
      <w:lang w:val="ru-RU" w:eastAsia="ru-RU" w:bidi="ar-SA"/>
    </w:rPr>
  </w:style>
  <w:style w:type="paragraph" w:styleId="Annotationtext">
    <w:name w:val="annotation text"/>
    <w:basedOn w:val="Normal"/>
    <w:qFormat/>
    <w:pPr/>
    <w:rPr>
      <w:sz w:val="20"/>
      <w:szCs w:val="20"/>
    </w:rPr>
  </w:style>
  <w:style w:type="paragraph" w:styleId="Annotationsubject">
    <w:name w:val="annotation subject"/>
    <w:basedOn w:val="Annotation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Style21" w:customStyle="1">
    <w:name w:val="Содержимое врезки"/>
    <w:basedOn w:val="TextBody"/>
    <w:qFormat/>
    <w:pPr/>
    <w:rPr/>
  </w:style>
  <w:style w:type="paragraph" w:styleId="Style22" w:customStyle="1">
    <w:name w:val="Содержимое таблицы"/>
    <w:basedOn w:val="Normal"/>
    <w:qFormat/>
    <w:pPr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paragraph" w:styleId="Style24" w:customStyle="1">
    <w:name w:val="Блочная цитата"/>
    <w:basedOn w:val="Normal"/>
    <w:qFormat/>
    <w:pPr/>
    <w:rPr/>
  </w:style>
  <w:style w:type="paragraph" w:styleId="Style25" w:customStyle="1">
    <w:name w:val="Текст в заданном формате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2358</TotalTime>
  <Application>LibreOffice/6.1.5.2$Linux_X86_64 LibreOffice_project/10$Build-2</Application>
  <Pages>3</Pages>
  <Words>325</Words>
  <Characters>3018</Characters>
  <CharactersWithSpaces>3222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2017-04-17T14:59:00Z</dcterms:created>
  <dc:creator>пкб</dc:creator>
  <dc:description/>
  <dc:language>ru</dc:language>
  <cp:lastModifiedBy/>
  <cp:lastPrinted>2013-03-14T14:16:00Z</cp:lastPrinted>
  <dcterms:modified xsi:type="dcterms:W3CDTF">2022-02-02T10:07:49Z</dcterms:modified>
  <cp:revision>89</cp:revision>
  <dc:subject/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</cp:coreProperties>
</file>