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afterAutospacing="0"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АО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  <w:t xml:space="preserve">«Петролеспорт»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</w:p>
    <w:p>
      <w:pPr>
        <w:jc w:val="right"/>
        <w:spacing w:after="0" w:afterAutospacing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>
      <w:pPr>
        <w:jc w:val="right"/>
        <w:spacing w:after="0" w:afterAutospacing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>
      <w:pPr>
        <w:jc w:val="center"/>
        <w:spacing w:after="0" w:afterAutospacing="0"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ПРОТОКОЛ № </w:t>
      </w:r>
      <w:r>
        <w:rPr>
          <w:rFonts w:ascii="Arial" w:hAnsi="Arial" w:eastAsia="Arial" w:cs="Arial"/>
          <w:b/>
          <w:color w:val="000000"/>
          <w:sz w:val="18"/>
        </w:rPr>
        <w:t xml:space="preserve">35/ПЛП/2025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</w:p>
    <w:p>
      <w:pPr>
        <w:jc w:val="center"/>
        <w:spacing w:after="0" w:afterAutospacing="0" w:line="240" w:lineRule="auto"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</w:rPr>
        <w:t xml:space="preserve">рассмотрения заявок и подведения итогов </w:t>
      </w:r>
      <w:r>
        <w:rPr>
          <w:rFonts w:ascii="Times New Roman" w:hAnsi="Times New Roman" w:cs="Times New Roman"/>
          <w:sz w:val="20"/>
          <w:szCs w:val="20"/>
        </w:rPr>
        <w:br/>
        <w:t xml:space="preserve">на участие в </w:t>
      </w:r>
      <w:r>
        <w:rPr>
          <w:rFonts w:ascii="Times New Roman" w:hAnsi="Times New Roman" w:cs="Times New Roman"/>
          <w:sz w:val="20"/>
          <w:szCs w:val="20"/>
        </w:rPr>
        <w:t xml:space="preserve">закупк</w:t>
      </w:r>
      <w:r>
        <w:rPr>
          <w:rFonts w:ascii="Times New Roman" w:hAnsi="Times New Roman" w:cs="Times New Roman"/>
          <w:sz w:val="20"/>
          <w:szCs w:val="20"/>
        </w:rPr>
        <w:t xml:space="preserve">е</w:t>
      </w:r>
      <w:r>
        <w:rPr>
          <w:rFonts w:ascii="Times New Roman" w:hAnsi="Times New Roman" w:cs="Times New Roman"/>
          <w:sz w:val="20"/>
          <w:szCs w:val="20"/>
        </w:rPr>
        <w:t xml:space="preserve"> по результатам анализа рынка</w:t>
      </w:r>
      <w:r>
        <w:rPr>
          <w:rFonts w:ascii="Times New Roman" w:hAnsi="Times New Roman" w:cs="Times New Roman"/>
          <w:sz w:val="20"/>
          <w:szCs w:val="20"/>
        </w:rPr>
        <w:t xml:space="preserve"> в электронной форме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jc w:val="left"/>
        <w:spacing w:after="0" w:afterAutospacing="0" w:line="240" w:lineRule="auto"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jc w:val="left"/>
        <w:spacing w:after="0" w:afterAutospacing="0" w:line="240" w:lineRule="auto"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u w:val="none"/>
        </w:rPr>
        <w:t xml:space="preserve">г. Санкт-Петербург                                                                                                                                   «27» февраля 2025 г.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u w:val="none"/>
        </w:rPr>
      </w:r>
    </w:p>
    <w:p>
      <w:p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Style w:val="920"/>
        <w:numPr>
          <w:ilvl w:val="0"/>
          <w:numId w:val="17"/>
        </w:numPr>
        <w:contextualSpacing w:val="0"/>
        <w:ind w:left="283" w:right="0" w:hanging="283"/>
        <w:jc w:val="both"/>
        <w:spacing w:after="0" w:afterAutospacing="0" w:line="240" w:lineRule="auto"/>
        <w:rPr>
          <w:rFonts w:ascii="Times New Roman" w:hAnsi="Times New Roman" w:eastAsia="Times New Roman" w:cs="Times New Roman"/>
          <w:i/>
          <w:iCs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На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именование предм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ета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 xml:space="preserve">закупки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Поставка запасных частей для портовой техники 02.2025 для нужд АО «Петролеспорт»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i/>
          <w:iCs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i/>
          <w:iCs/>
          <w:sz w:val="16"/>
          <w:szCs w:val="16"/>
          <w:highlight w:val="none"/>
        </w:rPr>
      </w:r>
    </w:p>
    <w:p>
      <w:pPr>
        <w:contextualSpacing w:val="0"/>
        <w:ind w:left="283" w:right="0" w:firstLine="0"/>
        <w:jc w:val="both"/>
        <w:spacing w:after="0" w:afterAutospacing="0" w:line="240" w:lineRule="auto"/>
        <w:rPr>
          <w:rFonts w:ascii="Times New Roman" w:hAnsi="Times New Roman" w:eastAsia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</w:p>
    <w:p>
      <w:pPr>
        <w:pStyle w:val="920"/>
        <w:numPr>
          <w:ilvl w:val="0"/>
          <w:numId w:val="17"/>
        </w:numPr>
        <w:contextualSpacing w:val="0"/>
        <w:ind w:left="0" w:right="0" w:firstLine="0"/>
        <w:jc w:val="both"/>
        <w:spacing w:after="0" w:afterAutospacing="0" w:line="240" w:lineRule="auto"/>
        <w:tabs>
          <w:tab w:val="left" w:pos="283" w:leader="none"/>
          <w:tab w:val="left" w:pos="567" w:leader="none"/>
        </w:tabs>
        <w:rPr>
          <w:rFonts w:ascii="Times New Roman" w:hAnsi="Times New Roman" w:eastAsia="Times New Roman" w:cs="Times New Roman"/>
          <w:i/>
          <w:iCs/>
          <w:color w:val="000000" w:themeColor="text1"/>
          <w:sz w:val="16"/>
          <w:szCs w:val="16"/>
          <w:highlight w:val="white"/>
          <w:u w:val="none"/>
        </w:rPr>
        <w:suppressLineNumbers w:val="0"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звещение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32514519439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 проведении настоящей закупки было размещ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  <w:u w:val="none"/>
        </w:rPr>
        <w:t xml:space="preserve">ено на официальном сайте </w:t>
      </w:r>
      <w:hyperlink r:id="rId11" w:tooltip="http://www.zakupki.gov.ru" w:history="1">
        <w:r>
          <w:rPr>
            <w:rStyle w:val="898"/>
            <w:rFonts w:ascii="Times New Roman" w:hAnsi="Times New Roman" w:eastAsia="Times New Roman" w:cs="Times New Roman"/>
            <w:color w:val="000000" w:themeColor="text1"/>
            <w:sz w:val="20"/>
            <w:szCs w:val="20"/>
            <w:highlight w:val="white"/>
            <w:u w:val="none"/>
          </w:rPr>
          <w:t xml:space="preserve">www.zakupki.gov.ru</w:t>
        </w:r>
      </w:hyperlink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  <w:u w:val="none"/>
        </w:rPr>
        <w:t xml:space="preserve">о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  <w:u w:val="none"/>
        </w:rPr>
        <w:t xml:space="preserve">т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  <w:u w:val="none"/>
        </w:rPr>
        <w:t xml:space="preserve"> 17.02.25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  <w:u w:val="none"/>
        </w:rPr>
        <w:t xml:space="preserve"> и на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  <w:u w:val="none"/>
          <w:lang w:val="en-US"/>
        </w:rPr>
        <w:t xml:space="preserve">etprf.ru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16"/>
          <w:szCs w:val="16"/>
          <w:highlight w:val="white"/>
          <w:u w:val="none"/>
        </w:rPr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16"/>
          <w:szCs w:val="16"/>
          <w:highlight w:val="white"/>
          <w:u w:val="none"/>
        </w:rPr>
      </w:r>
    </w:p>
    <w:p>
      <w:pPr>
        <w:contextualSpacing w:val="0"/>
        <w:ind w:left="283" w:right="0" w:firstLine="0"/>
        <w:jc w:val="both"/>
        <w:spacing w:after="0" w:afterAutospacing="0" w:line="240" w:lineRule="auto"/>
        <w:rPr>
          <w:rFonts w:ascii="Times New Roman" w:hAnsi="Times New Roman" w:eastAsia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</w:p>
    <w:p>
      <w:pPr>
        <w:pStyle w:val="920"/>
        <w:numPr>
          <w:ilvl w:val="0"/>
          <w:numId w:val="17"/>
        </w:numPr>
        <w:contextualSpacing w:val="0"/>
        <w:ind w:left="0" w:right="0" w:firstLine="0"/>
        <w:jc w:val="both"/>
        <w:spacing w:after="0" w:afterAutospacing="0" w:line="240" w:lineRule="auto"/>
        <w:tabs>
          <w:tab w:val="left" w:pos="283" w:leader="none"/>
        </w:tabs>
        <w:rPr>
          <w:rFonts w:ascii="Times New Roman" w:hAnsi="Times New Roman" w:eastAsia="Times New Roman" w:cs="Times New Roman"/>
          <w:sz w:val="20"/>
          <w:szCs w:val="20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  <w:t xml:space="preserve">Состав Закупочной комиссии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</w:rPr>
        <w:t xml:space="preserve">АО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«Петролеспорт»</w:t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  <w:t xml:space="preserve"> (далее - Комиссия) утвержден Приказом Генерального директора </w:t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  <w:t xml:space="preserve">ООО </w:t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  <w:t xml:space="preserve">УК Глобал Портс» № 192-ПЛП от 11.11.2024 г.: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</w:p>
    <w:p>
      <w:pPr>
        <w:contextualSpacing w:val="0"/>
        <w:ind w:left="0" w:right="0" w:firstLine="0"/>
        <w:jc w:val="both"/>
        <w:spacing w:after="0" w:afterAutospacing="0" w:line="240" w:lineRule="auto"/>
        <w:tabs>
          <w:tab w:val="left" w:pos="283" w:leader="none"/>
        </w:tabs>
        <w:rPr>
          <w:rFonts w:ascii="Times New Roman" w:hAnsi="Times New Roman" w:eastAsia="Times New Roman" w:cs="Times New Roman"/>
          <w:sz w:val="10"/>
          <w:szCs w:val="10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10"/>
          <w:szCs w:val="10"/>
          <w:highlight w:val="none"/>
        </w:rPr>
      </w:r>
      <w:r>
        <w:rPr>
          <w:rFonts w:ascii="Times New Roman" w:hAnsi="Times New Roman" w:eastAsia="Times New Roman" w:cs="Times New Roman"/>
          <w:sz w:val="10"/>
          <w:szCs w:val="10"/>
          <w:highlight w:val="none"/>
        </w:rPr>
      </w:r>
      <w:r>
        <w:rPr>
          <w:rFonts w:ascii="Times New Roman" w:hAnsi="Times New Roman" w:eastAsia="Times New Roman" w:cs="Times New Roman"/>
          <w:sz w:val="10"/>
          <w:szCs w:val="10"/>
          <w:highlight w:val="none"/>
        </w:rPr>
      </w:r>
    </w:p>
    <w:tbl>
      <w:tblPr>
        <w:tblStyle w:val="772"/>
        <w:tblW w:w="0" w:type="auto"/>
        <w:tblLayout w:type="fixed"/>
        <w:tblLook w:val="04A0" w:firstRow="1" w:lastRow="0" w:firstColumn="1" w:lastColumn="0" w:noHBand="0" w:noVBand="1"/>
      </w:tblPr>
      <w:tblGrid>
        <w:gridCol w:w="3401"/>
        <w:gridCol w:w="6633"/>
      </w:tblGrid>
      <w:tr>
        <w:tblPrEx/>
        <w:trPr>
          <w:trHeight w:val="504"/>
        </w:trPr>
        <w:tc>
          <w:tcPr>
            <w:tcW w:w="3401" w:type="dxa"/>
            <w:vAlign w:val="center"/>
            <w:textDirection w:val="lrTb"/>
            <w:noWrap w:val="false"/>
          </w:tcPr>
          <w:p>
            <w:pPr>
              <w:jc w:val="both"/>
              <w:spacing w:after="0" w:afterAutospacing="0"/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  <w:t xml:space="preserve">Председатель Комиссии: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6633" w:type="dxa"/>
            <w:vAlign w:val="center"/>
            <w:textDirection w:val="lrTb"/>
            <w:noWrap w:val="false"/>
          </w:tcPr>
          <w:p>
            <w:pPr>
              <w:ind w:firstLine="0"/>
              <w:jc w:val="both"/>
              <w:spacing w:before="79" w:beforeAutospacing="0"/>
              <w:shd w:val="clear" w:color="auto" w:fill="ffff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  <w14:ligatures w14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Роенкова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М.Н.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 –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старший специалист УК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  <w14:ligatures w14:val="none"/>
              </w:rPr>
            </w:r>
          </w:p>
        </w:tc>
      </w:tr>
      <w:tr>
        <w:tblPrEx/>
        <w:trPr>
          <w:trHeight w:val="557"/>
        </w:trPr>
        <w:tc>
          <w:tcPr>
            <w:tcW w:w="3401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Заместитель председателя Комиссии: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663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Погорелов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Р.А.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 – начальник управления (руководитель департамента) УК;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20"/>
        </w:trPr>
        <w:tc>
          <w:tcPr>
            <w:tcW w:w="3401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Члены Комиссии: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663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Ковалева Е.В.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 – начальник отдела УК;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57"/>
        </w:trPr>
        <w:tc>
          <w:tcPr>
            <w:tcW w:w="3401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663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Ивчук Е.В.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р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уководитель экономической службы;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557"/>
        </w:trPr>
        <w:tc>
          <w:tcPr>
            <w:tcW w:w="3401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W w:w="6633" w:type="dxa"/>
            <w:vAlign w:val="center"/>
            <w:textDirection w:val="lrTb"/>
            <w:noWrap w:val="false"/>
          </w:tcPr>
          <w:p>
            <w:pPr>
              <w:contextualSpacing w:val="0"/>
              <w:ind w:left="0" w:right="0" w:firstLine="0"/>
              <w:jc w:val="both"/>
              <w:spacing w:line="240" w:lineRule="auto"/>
              <w:tabs>
                <w:tab w:val="left" w:pos="8657" w:leader="underscore"/>
                <w:tab w:val="left" w:pos="9593" w:leader="underscore"/>
              </w:tabs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Сейфетдинов Т.Р.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начальник отдела УК;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</w:r>
          </w:p>
        </w:tc>
      </w:tr>
      <w:tr>
        <w:tblPrEx/>
        <w:trPr>
          <w:trHeight w:val="557"/>
        </w:trPr>
        <w:tc>
          <w:tcPr>
            <w:tcW w:w="3401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lightGray"/>
              </w:rPr>
              <w:t xml:space="preserve">Секретарь Комиссии: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lightGray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lightGray"/>
              </w:rPr>
            </w:r>
          </w:p>
          <w:p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lightGray"/>
              </w:rPr>
              <w:t xml:space="preserve">(без права голоса)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lightGray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lightGray"/>
              </w:rPr>
            </w:r>
          </w:p>
        </w:tc>
        <w:tc>
          <w:tcPr>
            <w:tcW w:w="6633" w:type="dxa"/>
            <w:vAlign w:val="center"/>
            <w:textDirection w:val="lrTb"/>
            <w:noWrap w:val="false"/>
          </w:tcPr>
          <w:p>
            <w:pPr>
              <w:ind w:firstLine="0"/>
              <w:jc w:val="both"/>
              <w:spacing w:before="79" w:beforeAutospacing="0"/>
              <w:shd w:val="clear" w:color="auto" w:fill="ffff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  <w14:ligatures w14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Роенкова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М.Н.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 –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старший специалист УК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</w:rPr>
              <w:t xml:space="preserve"> (без права голоса)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  <w:highlight w:val="white"/>
                <w14:ligatures w14:val="none"/>
              </w:rPr>
            </w:r>
          </w:p>
          <w:p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lightGray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lightGray"/>
              </w:rPr>
            </w:r>
          </w:p>
        </w:tc>
      </w:tr>
    </w:tbl>
    <w:p>
      <w:pPr>
        <w:ind w:left="0"/>
        <w:jc w:val="left"/>
        <w:spacing w:after="0" w:line="240" w:lineRule="auto"/>
        <w:tabs>
          <w:tab w:val="left" w:pos="8657" w:leader="underscore"/>
          <w:tab w:val="left" w:pos="9593" w:leader="underscore"/>
        </w:tabs>
        <w:rPr>
          <w:b/>
          <w:bCs/>
          <w:color w:val="auto"/>
          <w:sz w:val="10"/>
          <w:szCs w:val="10"/>
        </w:rPr>
      </w:pPr>
      <w:r>
        <w:rPr>
          <w:b/>
          <w:bCs/>
          <w:color w:val="auto"/>
          <w:szCs w:val="20"/>
          <w:highlight w:val="none"/>
        </w:rPr>
      </w:r>
      <w:r>
        <w:rPr>
          <w:b/>
          <w:bCs/>
          <w:color w:val="auto"/>
          <w:sz w:val="10"/>
          <w:szCs w:val="10"/>
        </w:rPr>
      </w:r>
      <w:r>
        <w:rPr>
          <w:b/>
          <w:bCs/>
          <w:color w:val="auto"/>
          <w:sz w:val="10"/>
          <w:szCs w:val="10"/>
        </w:rPr>
      </w:r>
    </w:p>
    <w:p>
      <w:pPr>
        <w:ind w:left="0"/>
        <w:jc w:val="center"/>
        <w:spacing w:after="0" w:line="240" w:lineRule="auto"/>
        <w:tabs>
          <w:tab w:val="left" w:pos="8657" w:leader="underscore"/>
          <w:tab w:val="left" w:pos="9593" w:leader="underscore"/>
        </w:tabs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  <w:t xml:space="preserve">Присутствовал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  <w:t xml:space="preserve"> _ (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  <w:t xml:space="preserve"> ) членов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  <w:t xml:space="preserve">Комиссии. Кворум имеется. Комиссия правомочна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none"/>
        </w:rPr>
      </w:r>
    </w:p>
    <w:p>
      <w:pPr>
        <w:ind w:left="0"/>
        <w:jc w:val="center"/>
        <w:spacing w:after="0" w:line="240" w:lineRule="auto"/>
        <w:tabs>
          <w:tab w:val="left" w:pos="8657" w:leader="underscore"/>
          <w:tab w:val="left" w:pos="9593" w:leader="underscore"/>
        </w:tabs>
        <w:rPr>
          <w:b/>
          <w:bCs/>
          <w:color w:val="auto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none"/>
        </w:rPr>
      </w:r>
      <w:r>
        <w:rPr>
          <w:b/>
          <w:bCs/>
          <w:color w:val="auto"/>
          <w:sz w:val="20"/>
          <w:szCs w:val="20"/>
          <w:highlight w:val="none"/>
        </w:rPr>
      </w:r>
      <w:r>
        <w:rPr>
          <w:b/>
          <w:bCs/>
          <w:color w:val="auto"/>
          <w:sz w:val="20"/>
          <w:szCs w:val="20"/>
          <w:highlight w:val="none"/>
        </w:rPr>
      </w:r>
    </w:p>
    <w:p>
      <w:pPr>
        <w:pStyle w:val="920"/>
        <w:numPr>
          <w:ilvl w:val="0"/>
          <w:numId w:val="17"/>
        </w:numPr>
        <w:contextualSpacing/>
        <w:ind w:left="0" w:right="0" w:firstLine="0"/>
        <w:jc w:val="both"/>
        <w:spacing w:after="0" w:line="240" w:lineRule="auto"/>
        <w:tabs>
          <w:tab w:val="left" w:pos="283" w:leader="none"/>
        </w:tabs>
        <w:rPr>
          <w:rFonts w:ascii="Times New Roman" w:hAnsi="Times New Roman" w:eastAsia="Times New Roman" w:cs="Times New Roman"/>
          <w:sz w:val="20"/>
          <w:szCs w:val="20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П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роцедура рассмотрения заяво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к и подведения итогов анализа рынка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была проведена Комиссией 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 часов 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  <w:lang w:val="en-US"/>
        </w:rPr>
        <w:t xml:space="preserve">00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 минут до 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 часов 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  <w:lang w:val="en-US"/>
        </w:rPr>
        <w:t xml:space="preserve">30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 минут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(Мск.) 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u w:val="none"/>
        </w:rPr>
        <w:t xml:space="preserve">«27» февраля 2025 г.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по адресу: </w:t>
      </w:r>
      <w:bookmarkStart w:id="0" w:name="undefined"/>
      <w:r>
        <w:rPr>
          <w:rFonts w:ascii="Times New Roman" w:hAnsi="Times New Roman" w:eastAsia="Times New Roman" w:cs="Times New Roman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98095, г. Санкт-Петербург, муниципальный округ Морские ворота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вн.тер.г.,Вольный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остров, д. 4,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помещ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111-124</w:t>
      </w:r>
      <w:bookmarkEnd w:id="0"/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</w:p>
    <w:p>
      <w:pPr>
        <w:contextualSpacing/>
        <w:ind w:left="0" w:right="0" w:firstLine="0"/>
        <w:jc w:val="both"/>
        <w:spacing w:after="0" w:line="240" w:lineRule="auto"/>
        <w:tabs>
          <w:tab w:val="left" w:pos="283" w:leader="none"/>
        </w:tabs>
        <w:rPr>
          <w:rFonts w:ascii="Times New Roman" w:hAnsi="Times New Roman" w:eastAsia="Times New Roman" w:cs="Times New Roman"/>
          <w:sz w:val="20"/>
          <w:szCs w:val="20"/>
          <w:highlight w:val="none"/>
        </w:rPr>
        <w:suppressLineNumbers w:val="0"/>
      </w:pPr>
      <w:r>
        <w:rPr>
          <w:rFonts w:ascii="Times New Roman" w:hAnsi="Times New Roman" w:eastAsia="Times New Roman"/>
          <w:color w:val="000000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</w:p>
    <w:p>
      <w:pPr>
        <w:pStyle w:val="920"/>
        <w:numPr>
          <w:ilvl w:val="0"/>
          <w:numId w:val="17"/>
        </w:numPr>
        <w:contextualSpacing/>
        <w:ind w:left="0" w:right="0" w:firstLine="0"/>
        <w:jc w:val="both"/>
        <w:spacing w:after="0" w:line="240" w:lineRule="auto"/>
        <w:tabs>
          <w:tab w:val="left" w:pos="283" w:leader="none"/>
        </w:tabs>
        <w:rPr>
          <w:rFonts w:ascii="Times New Roman" w:hAnsi="Times New Roman" w:eastAsia="Times New Roman"/>
          <w:color w:val="000000"/>
          <w:sz w:val="20"/>
          <w:szCs w:val="20"/>
          <w:lang w:val="ru-RU"/>
        </w:rPr>
        <w:suppressLineNumbers w:val="0"/>
      </w:pPr>
      <w:r>
        <w:rPr>
          <w:rFonts w:ascii="Times New Roman" w:hAnsi="Times New Roman" w:eastAsia="Times New Roman"/>
          <w:color w:val="000000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 xml:space="preserve">Условия согласно документации:</w:t>
      </w:r>
      <w:r>
        <w:rPr>
          <w:rFonts w:ascii="Times New Roman" w:hAnsi="Times New Roman" w:eastAsia="Times New Roman"/>
          <w:color w:val="000000"/>
          <w:sz w:val="20"/>
          <w:szCs w:val="20"/>
          <w:lang w:val="ru-RU"/>
        </w:rPr>
      </w:r>
      <w:r>
        <w:rPr>
          <w:rFonts w:ascii="Times New Roman" w:hAnsi="Times New Roman" w:eastAsia="Times New Roman"/>
          <w:color w:val="000000"/>
          <w:sz w:val="20"/>
          <w:szCs w:val="20"/>
          <w:lang w:val="ru-RU"/>
        </w:rPr>
      </w:r>
    </w:p>
    <w:p>
      <w:pPr>
        <w:contextualSpacing/>
        <w:ind w:left="0" w:right="0" w:firstLine="0"/>
        <w:jc w:val="both"/>
        <w:spacing w:after="0" w:line="240" w:lineRule="auto"/>
        <w:tabs>
          <w:tab w:val="left" w:pos="283" w:leader="none"/>
        </w:tabs>
        <w:rPr>
          <w:rFonts w:ascii="Times New Roman" w:hAnsi="Times New Roman" w:eastAsia="Times New Roman"/>
          <w:color w:val="000000"/>
          <w:sz w:val="20"/>
          <w:szCs w:val="20"/>
          <w:highlight w:val="lightGray"/>
        </w:rPr>
        <w:suppressLineNumbers w:val="0"/>
      </w:pP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Нача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л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ьная 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максим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альная цена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 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(НМЦ)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: 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780 000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 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руб. в том числе НДС.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  <w:lang w:val="ru-RU"/>
        </w:rPr>
        <w:t xml:space="preserve"> </w:t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</w:rPr>
      </w:r>
      <w:r>
        <w:rPr>
          <w:rFonts w:ascii="Times New Roman" w:hAnsi="Times New Roman" w:eastAsia="Times New Roman"/>
          <w:color w:val="000000"/>
          <w:sz w:val="20"/>
          <w:szCs w:val="20"/>
          <w:highlight w:val="lightGray"/>
        </w:rPr>
      </w:r>
    </w:p>
    <w:p>
      <w:pPr>
        <w:contextualSpacing/>
        <w:ind w:left="0" w:firstLine="0"/>
        <w:jc w:val="both"/>
        <w:spacing w:after="3" w:line="252" w:lineRule="auto"/>
        <w:tabs>
          <w:tab w:val="left" w:pos="426" w:leader="none"/>
        </w:tabs>
        <w:rPr>
          <w:rFonts w:ascii="Times New Roman" w:hAnsi="Times New Roman" w:eastAsia="Times New Roman"/>
          <w:sz w:val="20"/>
          <w:szCs w:val="20"/>
          <w:highlight w:val="lightGray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0"/>
          <w:szCs w:val="20"/>
          <w:highlight w:val="lightGray"/>
          <w:lang w:val="ru-RU"/>
        </w:rPr>
      </w:r>
      <w:r>
        <w:rPr>
          <w:rFonts w:ascii="Times New Roman" w:hAnsi="Times New Roman" w:eastAsia="Times New Roman"/>
          <w:sz w:val="20"/>
          <w:szCs w:val="20"/>
          <w:highlight w:val="lightGray"/>
        </w:rPr>
      </w:r>
      <w:r>
        <w:rPr>
          <w:rFonts w:ascii="Times New Roman" w:hAnsi="Times New Roman" w:eastAsia="Times New Roman"/>
          <w:sz w:val="20"/>
          <w:szCs w:val="20"/>
          <w:highlight w:val="lightGray"/>
        </w:rPr>
      </w:r>
    </w:p>
    <w:p>
      <w:pPr>
        <w:pStyle w:val="920"/>
        <w:ind w:left="0"/>
        <w:jc w:val="both"/>
        <w:spacing w:after="0" w:afterAutospacing="0" w:line="240" w:lineRule="auto"/>
        <w:tabs>
          <w:tab w:val="left" w:pos="426" w:leader="none"/>
        </w:tabs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  <w:t xml:space="preserve">На процедуру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в закупке по результатам анализа рынка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  <w:t xml:space="preserve">в электронной фо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рме 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был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 подан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ы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 заявк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 от следующ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их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участник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ов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none"/>
        </w:rPr>
      </w:r>
    </w:p>
    <w:p>
      <w:pPr>
        <w:pStyle w:val="920"/>
        <w:ind w:left="0"/>
        <w:jc w:val="both"/>
        <w:spacing w:after="0" w:afterAutospacing="0" w:line="240" w:lineRule="auto"/>
        <w:tabs>
          <w:tab w:val="left" w:pos="426" w:leader="none"/>
        </w:tabs>
        <w:rPr>
          <w:rFonts w:ascii="Times New Roman" w:hAnsi="Times New Roman" w:eastAsia="Times New Roman" w:cs="Times New Roman"/>
          <w:b/>
          <w:bCs/>
          <w:color w:val="auto"/>
          <w:sz w:val="10"/>
          <w:szCs w:val="10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10"/>
          <w:szCs w:val="1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10"/>
          <w:szCs w:val="10"/>
          <w:highlight w:val="whit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10"/>
          <w:szCs w:val="10"/>
          <w:highlight w:val="white"/>
        </w:rPr>
      </w:r>
    </w:p>
    <w:tbl>
      <w:tblPr>
        <w:tblW w:w="5000" w:type="pct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"/>
        <w:gridCol w:w="2131"/>
        <w:gridCol w:w="1657"/>
        <w:gridCol w:w="1657"/>
        <w:gridCol w:w="2131"/>
      </w:tblGrid>
      <w:tr>
        <w:tblPrEx/>
        <w:trPr>
          <w:jc w:val="center"/>
          <w:trHeight w:val="977"/>
        </w:trPr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1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line="240" w:lineRule="auto"/>
              <w:shd w:val="clear" w:color="auto" w:fill="auto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  <w:r>
              <w:rPr>
                <w:b/>
                <w:bCs/>
                <w:sz w:val="20"/>
                <w:szCs w:val="20"/>
              </w:rPr>
              <w:br/>
              <w:t xml:space="preserve">п/п</w:t>
            </w:r>
            <w:r/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line="240" w:lineRule="auto"/>
              <w:shd w:val="clear" w:color="auto" w:fill="auto"/>
              <w:rPr>
                <w:color w:val="00000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Участник закупки, подавший заявку, признанный участником закупки (№ заявки)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7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Дата и время регистрации заявки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7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commentRangeStart w:id="0"/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Коммерческое предложение, руб. в том числе НДС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commentRangeEnd w:id="0"/>
            <w:r>
              <w:commentReference w:id="0"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Техническое предложение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</w:tr>
      <w:tr>
        <w:tblPrEx/>
        <w:trPr>
          <w:jc w:val="center"/>
          <w:trHeight w:val="557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1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</w:pPr>
            <w:r>
              <w:rPr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351854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7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23.02.2025 17:25:57 (+03:00)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7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662 400 без НДС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Соответствует требованиям ТЗ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rHeight w:val="557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1" w:type="dxa"/>
            <w:vAlign w:val="center"/>
            <w:vMerge w:val="restart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351878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7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24.02.2025 15:51:16 (+03:00)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474 765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Соответствует требованиям ТЗ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rHeight w:val="557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1" w:type="dxa"/>
            <w:vAlign w:val="center"/>
            <w:vMerge w:val="restart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351879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7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24.02.2025 16:16:15 (+03:00)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683 242,80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Соответствует требованиям ТЗ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/>
          </w:p>
        </w:tc>
      </w:tr>
      <w:tr>
        <w:tblPrEx/>
        <w:trPr>
          <w:trHeight w:val="557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1" w:type="dxa"/>
            <w:vAlign w:val="center"/>
            <w:vMerge w:val="restart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351883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7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25.02.2025 07:09:04 (+03:00)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562 463 без НДС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Соответствует требованиям ТЗ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/>
          </w:p>
        </w:tc>
      </w:tr>
    </w:tbl>
    <w:p>
      <w:pPr>
        <w:contextualSpacing/>
        <w:ind w:left="0" w:firstLine="0"/>
        <w:jc w:val="both"/>
        <w:spacing w:after="3" w:line="252" w:lineRule="auto"/>
        <w:tabs>
          <w:tab w:val="left" w:pos="426" w:leader="none"/>
        </w:tabs>
        <w:rPr>
          <w:rFonts w:ascii="Times New Roman" w:hAnsi="Times New Roman" w:eastAsia="Times New Roman"/>
          <w:color w:val="000000"/>
        </w:rPr>
        <w:suppressLineNumbers w:val="0"/>
      </w:pPr>
      <w:r>
        <w:rPr>
          <w:rFonts w:ascii="Times New Roman" w:hAnsi="Times New Roman" w:eastAsia="Times New Roman"/>
          <w:b w:val="0"/>
          <w:color w:val="000000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</w:rPr>
      </w:r>
      <w:r>
        <w:rPr>
          <w:rFonts w:ascii="Times New Roman" w:hAnsi="Times New Roman" w:eastAsia="Times New Roman"/>
          <w:color w:val="000000"/>
        </w:rPr>
      </w:r>
    </w:p>
    <w:p>
      <w:pPr>
        <w:pStyle w:val="920"/>
        <w:numPr>
          <w:ilvl w:val="0"/>
          <w:numId w:val="17"/>
        </w:numPr>
        <w:contextualSpacing/>
        <w:ind w:left="0" w:right="0" w:firstLine="0"/>
        <w:jc w:val="both"/>
        <w:spacing w:after="3" w:line="252" w:lineRule="auto"/>
        <w:tabs>
          <w:tab w:val="left" w:pos="283" w:leader="none"/>
        </w:tabs>
        <w:rPr>
          <w:rFonts w:ascii="Times New Roman" w:hAnsi="Times New Roman" w:eastAsia="Times New Roman"/>
          <w:color w:val="000000"/>
          <w:highlight w:val="none"/>
        </w:rPr>
        <w:suppressLineNumbers w:val="0"/>
      </w:pPr>
      <w:r>
        <w:rPr>
          <w:rFonts w:ascii="Times New Roman" w:hAnsi="Times New Roman" w:eastAsia="Times New Roman"/>
          <w:b/>
          <w:bCs/>
          <w:color w:val="000000"/>
          <w:sz w:val="20"/>
          <w:szCs w:val="20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К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омиссия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 рассмотрела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заяв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к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 на участие в закупке на соответствие требованиям, установленным в закупочной документации, и приняла решение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 д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опустить к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участию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следующ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их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претендент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ов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white"/>
        </w:rPr>
        <w:t xml:space="preserve">: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/>
          <w:color w:val="000000"/>
          <w:highlight w:val="none"/>
        </w:rPr>
      </w:r>
      <w:r>
        <w:rPr>
          <w:rFonts w:ascii="Times New Roman" w:hAnsi="Times New Roman" w:eastAsia="Times New Roman"/>
          <w:color w:val="000000"/>
          <w:highlight w:val="none"/>
        </w:rPr>
      </w:r>
    </w:p>
    <w:p>
      <w:pPr>
        <w:contextualSpacing/>
        <w:ind w:left="0" w:right="0" w:firstLine="0"/>
        <w:jc w:val="both"/>
        <w:spacing w:after="3" w:line="252" w:lineRule="auto"/>
        <w:tabs>
          <w:tab w:val="left" w:pos="283" w:leader="none"/>
        </w:tabs>
        <w:rPr>
          <w:rFonts w:ascii="Times New Roman" w:hAnsi="Times New Roman" w:eastAsia="Times New Roman"/>
          <w:color w:val="000000"/>
          <w:sz w:val="10"/>
          <w:szCs w:val="10"/>
          <w:highlight w:val="none"/>
        </w:rPr>
        <w:suppressLineNumbers w:val="0"/>
      </w:pPr>
      <w:r>
        <w:rPr>
          <w:rFonts w:ascii="Times New Roman" w:hAnsi="Times New Roman" w:eastAsia="Times New Roman"/>
          <w:color w:val="000000"/>
          <w:highlight w:val="none"/>
        </w:rPr>
      </w:r>
      <w:r>
        <w:rPr>
          <w:rFonts w:ascii="Times New Roman" w:hAnsi="Times New Roman" w:eastAsia="Times New Roman"/>
          <w:color w:val="000000"/>
          <w:sz w:val="10"/>
          <w:szCs w:val="10"/>
          <w:highlight w:val="none"/>
        </w:rPr>
      </w:r>
      <w:r>
        <w:rPr>
          <w:rFonts w:ascii="Times New Roman" w:hAnsi="Times New Roman" w:eastAsia="Times New Roman"/>
          <w:color w:val="000000"/>
          <w:sz w:val="10"/>
          <w:szCs w:val="10"/>
          <w:highlight w:val="none"/>
        </w:rPr>
      </w:r>
    </w:p>
    <w:tbl>
      <w:tblPr>
        <w:tblW w:w="5000" w:type="pct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6237"/>
        <w:gridCol w:w="3401"/>
      </w:tblGrid>
      <w:tr>
        <w:tblPrEx/>
        <w:trPr>
          <w:jc w:val="center"/>
          <w:trHeight w:val="485"/>
        </w:trPr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line="240" w:lineRule="auto"/>
              <w:shd w:val="clear" w:color="auto" w:fill="auto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  <w:r>
              <w:rPr>
                <w:b/>
                <w:bCs/>
                <w:sz w:val="20"/>
                <w:szCs w:val="20"/>
              </w:rPr>
              <w:br/>
              <w:t xml:space="preserve">п/п</w:t>
            </w:r>
            <w:r/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center"/>
            <w:textDirection w:val="lrTb"/>
            <w:noWrap w:val="false"/>
          </w:tcPr>
          <w:p>
            <w:pPr>
              <w:pStyle w:val="920"/>
              <w:ind w:left="0" w:firstLine="0"/>
              <w:jc w:val="center"/>
              <w:spacing w:after="0" w:line="240" w:lineRule="auto"/>
              <w:shd w:val="clear" w:color="d9d9d9" w:themeColor="background1" w:themeShade="D9" w:fill="d9d9d9" w:themeFill="background1" w:themeFillShade="D9"/>
              <w:tabs>
                <w:tab w:val="left" w:pos="426" w:leader="none"/>
              </w:tabs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Участник закупки, подавший заявку, признанный участником закупки</w:t>
            </w:r>
            <w:r>
              <w:rPr>
                <w:rFonts w:ascii="Times New Roman" w:hAnsi="Times New Roman" w:cs="Times New Roman"/>
                <w:b/>
                <w:bCs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Cs w:val="20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1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line="240" w:lineRule="auto"/>
              <w:shd w:val="clear" w:color="auto" w:fil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Дата и время подачи заявки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blPrEx/>
        <w:trPr>
          <w:jc w:val="center"/>
          <w:trHeight w:val="41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</w:pPr>
            <w:r>
              <w:rPr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351854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1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23.02.2025 17:25:57 (+03:00)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</w:tr>
      <w:tr>
        <w:tblPrEx/>
        <w:trPr>
          <w:trHeight w:val="41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vMerge w:val="restart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351878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24.02.2025 15:51:16 (+03:00)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</w:tr>
      <w:tr>
        <w:tblPrEx/>
        <w:trPr>
          <w:trHeight w:val="41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vMerge w:val="restart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351879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24.02.2025 16:16:15 (+03:00)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</w:tr>
      <w:tr>
        <w:tblPrEx/>
        <w:trPr>
          <w:trHeight w:val="41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vMerge w:val="restart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351883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25.02.2025 07:09:04 (+03:00)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</w:tr>
    </w:tbl>
    <w:p>
      <w:pPr>
        <w:pStyle w:val="922"/>
        <w:jc w:val="center"/>
        <w:spacing w:line="240" w:lineRule="auto"/>
        <w:shd w:val="clear" w:color="auto" w:fill="auto"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Style w:val="922"/>
        <w:jc w:val="center"/>
        <w:spacing w:line="240" w:lineRule="auto"/>
        <w:shd w:val="clear" w:color="auto" w:fill="auto"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Отказать в допуске к участию в закупке следующим претендентам: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Style w:val="922"/>
        <w:jc w:val="center"/>
        <w:spacing w:line="240" w:lineRule="auto"/>
        <w:shd w:val="clear" w:color="auto" w:fill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tbl>
      <w:tblPr>
        <w:tblW w:w="5000" w:type="pct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4248"/>
        <w:gridCol w:w="2266"/>
        <w:gridCol w:w="3116"/>
      </w:tblGrid>
      <w:tr>
        <w:tblPrEx/>
        <w:trPr>
          <w:jc w:val="center"/>
          <w:trHeight w:val="485"/>
        </w:trPr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line="240" w:lineRule="auto"/>
              <w:shd w:val="clear" w:color="auto" w:fill="auto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  <w:r>
              <w:rPr>
                <w:b/>
                <w:bCs/>
                <w:sz w:val="20"/>
                <w:szCs w:val="20"/>
              </w:rPr>
              <w:br/>
              <w:t xml:space="preserve">п/п</w:t>
            </w:r>
            <w:r/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tabs>
                <w:tab w:val="left" w:pos="426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Участник закупки, подавший заявку, не признанный участником закупки (№ заявки)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tabs>
                <w:tab w:val="left" w:pos="426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Дата и время подачи заявки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tabs>
                <w:tab w:val="left" w:pos="426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Основание в отказе в допуске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br/>
              <w:t xml:space="preserve">на участие в закупке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</w:tr>
      <w:tr>
        <w:tblPrEx/>
        <w:trPr>
          <w:jc w:val="center"/>
          <w:trHeight w:val="41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line="240" w:lineRule="auto"/>
              <w:shd w:val="clear" w:color="auto" w:fill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lang w:val="en-US"/>
              </w:rPr>
              <w:t xml:space="preserve">X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val="en-US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val="en-US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val="en-US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>
      <w:pPr>
        <w:contextualSpacing/>
        <w:ind w:left="283" w:right="0" w:firstLine="0"/>
        <w:spacing w:after="0"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</w:p>
    <w:p>
      <w:pPr>
        <w:pStyle w:val="920"/>
        <w:numPr>
          <w:ilvl w:val="0"/>
          <w:numId w:val="17"/>
        </w:numPr>
        <w:contextualSpacing/>
        <w:ind w:left="283" w:right="0" w:hanging="283"/>
        <w:spacing w:after="0"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Результаты голосования: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</w:p>
    <w:p>
      <w:pPr>
        <w:contextualSpacing/>
        <w:ind w:left="0" w:firstLine="0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«ЗА»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- _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член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ов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Комиссии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  <w:r>
        <w:rPr>
          <w:rFonts w:ascii="Times New Roman" w:hAnsi="Times New Roman" w:cs="Times New Roman"/>
          <w:szCs w:val="20"/>
        </w:rPr>
      </w:r>
      <w:r>
        <w:rPr>
          <w:rFonts w:ascii="Times New Roman" w:hAnsi="Times New Roman" w:cs="Times New Roman"/>
          <w:szCs w:val="20"/>
        </w:rPr>
      </w:r>
    </w:p>
    <w:p>
      <w:pPr>
        <w:contextualSpacing/>
        <w:ind w:left="0" w:firstLine="0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szCs w:val="20"/>
          <w:highlight w:val="white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«ПРОТИВ» - 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нет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.</w:t>
      </w:r>
      <w:r>
        <w:rPr>
          <w:rFonts w:ascii="Times New Roman" w:hAnsi="Times New Roman" w:cs="Times New Roman"/>
          <w:szCs w:val="20"/>
          <w:highlight w:val="white"/>
        </w:rPr>
      </w:r>
      <w:r>
        <w:rPr>
          <w:rFonts w:ascii="Times New Roman" w:hAnsi="Times New Roman" w:cs="Times New Roman"/>
          <w:szCs w:val="20"/>
          <w:highlight w:val="white"/>
        </w:rPr>
      </w:r>
    </w:p>
    <w:p>
      <w:pPr>
        <w:contextualSpacing/>
        <w:ind w:left="0" w:firstLine="0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szCs w:val="20"/>
          <w:highlight w:val="white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«ВОЗДЕРЖАЛСЯ» - нет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.</w:t>
      </w:r>
      <w:r>
        <w:rPr>
          <w:rFonts w:ascii="Times New Roman" w:hAnsi="Times New Roman" w:cs="Times New Roman"/>
          <w:szCs w:val="20"/>
          <w:highlight w:val="white"/>
        </w:rPr>
      </w:r>
      <w:r>
        <w:rPr>
          <w:rFonts w:ascii="Times New Roman" w:hAnsi="Times New Roman" w:cs="Times New Roman"/>
          <w:szCs w:val="20"/>
          <w:highlight w:val="white"/>
        </w:rPr>
      </w:r>
    </w:p>
    <w:p>
      <w:pPr>
        <w:pStyle w:val="920"/>
        <w:ind w:left="0" w:firstLine="0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b/>
          <w:bCs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white"/>
        </w:rPr>
        <w:t xml:space="preserve">Решение принято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white"/>
        </w:rPr>
        <w:t xml:space="preserve">единогласно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white"/>
        </w:rPr>
        <w:t xml:space="preserve">.</w:t>
      </w:r>
      <w:r>
        <w:rPr>
          <w:rFonts w:ascii="Times New Roman" w:hAnsi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sz w:val="20"/>
          <w:szCs w:val="20"/>
          <w:highlight w:val="none"/>
        </w:rPr>
      </w:r>
    </w:p>
    <w:p>
      <w:pPr>
        <w:pStyle w:val="920"/>
        <w:ind w:left="0" w:firstLine="0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hAnsi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sz w:val="20"/>
          <w:szCs w:val="20"/>
          <w:highlight w:val="white"/>
        </w:rPr>
      </w:r>
      <w:r>
        <w:rPr>
          <w:rFonts w:ascii="Times New Roman" w:hAnsi="Times New Roman" w:cs="Times New Roman"/>
          <w:b/>
          <w:bCs/>
          <w:sz w:val="20"/>
          <w:szCs w:val="20"/>
          <w:highlight w:val="white"/>
        </w:rPr>
      </w:r>
    </w:p>
    <w:p>
      <w:pPr>
        <w:pStyle w:val="922"/>
        <w:numPr>
          <w:ilvl w:val="0"/>
          <w:numId w:val="17"/>
        </w:numPr>
        <w:ind w:left="0" w:firstLine="0"/>
        <w:jc w:val="both"/>
        <w:spacing w:line="240" w:lineRule="auto"/>
        <w:shd w:val="clear" w:color="auto" w:fill="auto"/>
        <w:tabs>
          <w:tab w:val="left" w:pos="283" w:leader="none"/>
        </w:tabs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Комиссия рассмотрела и оценила заявки допущенных участников закупки анализа рынка</w:t>
      </w:r>
      <w:r>
        <w:rPr>
          <w:bCs/>
          <w:sz w:val="20"/>
          <w:szCs w:val="20"/>
        </w:rPr>
        <w:br/>
      </w:r>
      <w:r>
        <w:rPr>
          <w:bCs/>
          <w:sz w:val="20"/>
          <w:szCs w:val="20"/>
        </w:rPr>
        <w:t xml:space="preserve">в электронной форме в соответствии с критериями оценки, их значимостью и содержанием, порядком оценки заявок </w:t>
      </w:r>
      <w:r>
        <w:rPr>
          <w:bCs/>
          <w:sz w:val="20"/>
          <w:szCs w:val="20"/>
        </w:rPr>
        <w:br/>
      </w:r>
      <w:r>
        <w:rPr>
          <w:bCs/>
          <w:sz w:val="20"/>
          <w:szCs w:val="20"/>
        </w:rPr>
        <w:t xml:space="preserve">на участие в закупке на соответствие требованиям, установленным в закупочной документации, и приняла решение </w:t>
      </w:r>
      <w:r>
        <w:rPr>
          <w:bCs/>
          <w:sz w:val="20"/>
          <w:szCs w:val="20"/>
        </w:rPr>
        <w:br/>
      </w:r>
      <w:r>
        <w:rPr>
          <w:bCs/>
          <w:sz w:val="20"/>
          <w:szCs w:val="20"/>
        </w:rPr>
        <w:t xml:space="preserve">о присвоении участникам следующих </w:t>
      </w:r>
      <w:r>
        <w:rPr>
          <w:bCs/>
          <w:sz w:val="20"/>
          <w:szCs w:val="20"/>
        </w:rPr>
        <w:t xml:space="preserve">итоговых мест</w:t>
      </w:r>
      <w:r>
        <w:rPr>
          <w:bCs/>
          <w:sz w:val="20"/>
          <w:szCs w:val="20"/>
        </w:rPr>
        <w:t xml:space="preserve">:</w:t>
      </w:r>
      <w:r>
        <w:rPr>
          <w:bCs/>
          <w:sz w:val="20"/>
          <w:szCs w:val="20"/>
        </w:rPr>
      </w:r>
      <w:r>
        <w:rPr>
          <w:bCs/>
          <w:sz w:val="20"/>
          <w:szCs w:val="20"/>
        </w:rPr>
      </w:r>
    </w:p>
    <w:p>
      <w:pPr>
        <w:pStyle w:val="922"/>
        <w:ind w:left="0" w:firstLine="0"/>
        <w:jc w:val="both"/>
        <w:spacing w:line="240" w:lineRule="auto"/>
        <w:shd w:val="clear" w:color="auto" w:fill="auto"/>
        <w:tabs>
          <w:tab w:val="left" w:pos="283" w:leader="none"/>
        </w:tabs>
        <w:rPr>
          <w:sz w:val="10"/>
          <w:szCs w:val="10"/>
        </w:rPr>
      </w:pPr>
      <w:r>
        <w:rPr>
          <w:bCs/>
          <w:sz w:val="20"/>
          <w:szCs w:val="20"/>
          <w:highlight w:val="none"/>
        </w:rPr>
      </w:r>
      <w:r>
        <w:rPr>
          <w:sz w:val="10"/>
          <w:szCs w:val="10"/>
        </w:rPr>
      </w:r>
      <w:r>
        <w:rPr>
          <w:sz w:val="10"/>
          <w:szCs w:val="10"/>
        </w:rPr>
      </w:r>
    </w:p>
    <w:tbl>
      <w:tblPr>
        <w:tblW w:w="5000" w:type="pct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6236"/>
        <w:gridCol w:w="3402"/>
      </w:tblGrid>
      <w:tr>
        <w:tblPrEx/>
        <w:trPr>
          <w:jc w:val="center"/>
          <w:trHeight w:val="485"/>
        </w:trPr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line="240" w:lineRule="auto"/>
              <w:shd w:val="clear" w:color="auto" w:fill="auto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  <w:r>
              <w:rPr>
                <w:b/>
                <w:bCs/>
                <w:sz w:val="20"/>
                <w:szCs w:val="20"/>
              </w:rPr>
              <w:br/>
              <w:t xml:space="preserve">п/п</w:t>
            </w:r>
            <w:r/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6" w:type="dxa"/>
            <w:vAlign w:val="center"/>
            <w:textDirection w:val="lrTb"/>
            <w:noWrap w:val="false"/>
          </w:tcPr>
          <w:p>
            <w:pPr>
              <w:pStyle w:val="920"/>
              <w:ind w:left="0" w:firstLine="0"/>
              <w:jc w:val="center"/>
              <w:spacing w:after="0" w:line="240" w:lineRule="auto"/>
              <w:shd w:val="clear" w:color="d9d9d9" w:themeColor="background1" w:themeShade="D9" w:fill="d9d9d9" w:themeFill="background1" w:themeFillShade="D9"/>
              <w:tabs>
                <w:tab w:val="left" w:pos="426" w:leader="none"/>
              </w:tabs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Участник закупки, подавший заявку, признанный участником закупки</w:t>
            </w:r>
            <w:r>
              <w:rPr>
                <w:rFonts w:ascii="Times New Roman" w:hAnsi="Times New Roman" w:cs="Times New Roman"/>
                <w:b/>
                <w:bCs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Cs w:val="20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  <w:textDirection w:val="lrTb"/>
            <w:noWrap w:val="false"/>
          </w:tcPr>
          <w:p>
            <w:pPr>
              <w:pStyle w:val="920"/>
              <w:ind w:left="0" w:firstLine="0"/>
              <w:jc w:val="center"/>
              <w:spacing w:after="0" w:line="240" w:lineRule="auto"/>
              <w:shd w:val="clear" w:color="d9d9d9" w:themeColor="background1" w:themeShade="D9" w:fill="d9d9d9" w:themeFill="background1" w:themeFillShade="D9"/>
              <w:tabs>
                <w:tab w:val="left" w:pos="426" w:leader="none"/>
              </w:tabs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Место</w:t>
            </w:r>
            <w:r>
              <w:rPr>
                <w:rFonts w:ascii="Times New Roman" w:hAnsi="Times New Roman" w:cs="Times New Roman"/>
                <w:b/>
                <w:bCs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Cs w:val="20"/>
              </w:rPr>
            </w:r>
          </w:p>
        </w:tc>
      </w:tr>
      <w:tr>
        <w:tblPrEx/>
        <w:trPr>
          <w:jc w:val="center"/>
          <w:trHeight w:val="41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</w:pPr>
            <w:r>
              <w:rPr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6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351878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 место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vMerge w:val="restart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351883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2 место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blPrEx/>
        <w:trPr>
          <w:trHeight w:val="41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vMerge w:val="restart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351854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3 место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blPrEx/>
        <w:trPr>
          <w:trHeight w:val="41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7" w:type="dxa"/>
            <w:vAlign w:val="center"/>
            <w:vMerge w:val="restart"/>
            <w:textDirection w:val="lrTb"/>
            <w:noWrap w:val="false"/>
          </w:tcPr>
          <w:p>
            <w:pPr>
              <w:pStyle w:val="922"/>
              <w:jc w:val="center"/>
              <w:spacing w:after="0" w:afterAutospacing="0" w:line="240" w:lineRule="auto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351879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4 место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</w:tbl>
    <w:p>
      <w:pPr>
        <w:pStyle w:val="924"/>
        <w:spacing w:before="0" w:line="240" w:lineRule="auto"/>
        <w:shd w:val="clear" w:color="auto" w:fill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>
      <w:pPr>
        <w:pStyle w:val="924"/>
        <w:numPr>
          <w:ilvl w:val="0"/>
          <w:numId w:val="17"/>
        </w:numPr>
        <w:ind w:left="283" w:right="0" w:hanging="283"/>
        <w:spacing w:before="0" w:line="240" w:lineRule="auto"/>
        <w:shd w:val="clear" w:color="auto" w:fill="auto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</w:rPr>
        <w:t xml:space="preserve">Результаты голосования: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Style w:val="922"/>
        <w:spacing w:line="240" w:lineRule="auto"/>
        <w:shd w:val="clear" w:color="auto" w:fill="auto"/>
        <w:tabs>
          <w:tab w:val="left" w:pos="1170" w:leader="underscore"/>
        </w:tabs>
        <w:rPr>
          <w:sz w:val="20"/>
          <w:szCs w:val="20"/>
        </w:rPr>
      </w:pPr>
      <w:r>
        <w:rPr>
          <w:sz w:val="20"/>
          <w:szCs w:val="20"/>
        </w:rPr>
        <w:t xml:space="preserve">«ЗА» - </w:t>
      </w:r>
      <w:r>
        <w:rPr>
          <w:sz w:val="20"/>
          <w:szCs w:val="20"/>
        </w:rPr>
        <w:t xml:space="preserve">_членов Комиссии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22"/>
        <w:spacing w:line="240" w:lineRule="auto"/>
        <w:shd w:val="clear" w:color="auto" w:fill="auto"/>
        <w:rPr>
          <w:sz w:val="20"/>
          <w:szCs w:val="20"/>
        </w:rPr>
      </w:pPr>
      <w:r>
        <w:rPr>
          <w:sz w:val="20"/>
          <w:szCs w:val="20"/>
        </w:rPr>
        <w:t xml:space="preserve">«ПРОТИВ» - нет.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«ВОЗДЕРЖАЛСЯ» - нет.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22"/>
        <w:spacing w:line="240" w:lineRule="auto"/>
        <w:shd w:val="clear" w:color="auto" w:fill="auto"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Решение принято единогласно.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contextualSpacing/>
        <w:ind w:left="0" w:firstLine="0"/>
        <w:jc w:val="both"/>
        <w:spacing w:after="3" w:line="252" w:lineRule="auto"/>
        <w:tabs>
          <w:tab w:val="left" w:pos="426" w:leader="none"/>
        </w:tabs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auto"/>
          <w:sz w:val="20"/>
          <w:szCs w:val="20"/>
        </w:rPr>
      </w:r>
      <w:r>
        <w:rPr>
          <w:rFonts w:ascii="Times New Roman" w:hAnsi="Times New Roman" w:eastAsia="Times New Roman" w:cs="Times New Roman"/>
          <w:color w:val="auto"/>
          <w:sz w:val="20"/>
          <w:szCs w:val="20"/>
        </w:rPr>
      </w:r>
    </w:p>
    <w:p>
      <w:pPr>
        <w:pStyle w:val="920"/>
        <w:numPr>
          <w:ilvl w:val="0"/>
          <w:numId w:val="17"/>
        </w:numPr>
        <w:contextualSpacing/>
        <w:ind w:left="283" w:right="0" w:hanging="283"/>
        <w:jc w:val="both"/>
        <w:spacing w:after="3" w:line="252" w:lineRule="auto"/>
        <w:rPr>
          <w:rFonts w:ascii="Times New Roman" w:hAnsi="Times New Roman" w:cs="Times New Roman"/>
          <w:b/>
          <w:bCs/>
          <w:color w:val="auto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  <w:lang w:val="ru-RU"/>
        </w:rPr>
        <w:t xml:space="preserve">Комиссия приняла решение:</w:t>
      </w:r>
      <w:r>
        <w:rPr>
          <w:rFonts w:ascii="Times New Roman" w:hAnsi="Times New Roman" w:cs="Times New Roman"/>
          <w:b/>
          <w:bCs/>
          <w:color w:val="auto"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color w:val="auto"/>
          <w:sz w:val="20"/>
          <w:szCs w:val="20"/>
          <w:highlight w:val="none"/>
        </w:rPr>
      </w:r>
    </w:p>
    <w:p>
      <w:pPr>
        <w:pStyle w:val="920"/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  <w:t xml:space="preserve">Признать анализ рынка</w:t>
      </w: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/>
        </w:rPr>
        <w:t xml:space="preserve"> в электронной форме</w:t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состоявшимся</w:t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  <w:t xml:space="preserve"> и заключить договор с </w:t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  <w:t xml:space="preserve"> участником </w:t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  <w:t xml:space="preserve">№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351878</w:t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  <w:t xml:space="preserve"> на следующих условиях:</w:t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r>
    </w:p>
    <w:p>
      <w:pPr>
        <w:pStyle w:val="920"/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0"/>
          <w:szCs w:val="20"/>
          <w:highlight w:val="lightGray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  <w:highlight w:val="lightGray"/>
        </w:rPr>
        <w:t xml:space="preserve">Цена Договора: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474 765</w:t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  <w:t xml:space="preserve"> руб. с НДС</w:t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lightGray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lightGray"/>
        </w:rPr>
      </w:r>
    </w:p>
    <w:p>
      <w:pPr>
        <w:pStyle w:val="920"/>
        <w:ind w:left="0" w:firstLine="0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b/>
          <w:bCs/>
          <w:sz w:val="20"/>
          <w:szCs w:val="20"/>
          <w:highlight w:val="green"/>
        </w:rPr>
      </w:pPr>
      <w:r>
        <w:rPr>
          <w:rFonts w:ascii="Times New Roman" w:hAnsi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sz w:val="20"/>
          <w:szCs w:val="20"/>
          <w:highlight w:val="green"/>
        </w:rPr>
      </w:r>
      <w:r>
        <w:rPr>
          <w:rFonts w:ascii="Times New Roman" w:hAnsi="Times New Roman" w:cs="Times New Roman"/>
          <w:b/>
          <w:bCs/>
          <w:sz w:val="20"/>
          <w:szCs w:val="20"/>
          <w:highlight w:val="green"/>
        </w:rPr>
      </w:r>
    </w:p>
    <w:p>
      <w:pPr>
        <w:contextualSpacing/>
        <w:ind w:left="0" w:firstLine="0"/>
        <w:spacing w:after="0" w:line="240" w:lineRule="auto"/>
        <w:tabs>
          <w:tab w:val="left" w:pos="426" w:leader="none"/>
        </w:tabs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bookmarkStart w:id="6" w:name="_Hlk93658863"/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Настоящий протокол подлежит размещению на официальном сайте www.zakupki.gov.ru </w:t>
      </w:r>
      <w:bookmarkEnd w:id="6"/>
      <w:r>
        <w:rPr>
          <w:rFonts w:ascii="Times New Roman" w:hAnsi="Times New Roman" w:eastAsia="Times New Roman" w:cs="Times New Roman"/>
          <w:b/>
          <w:bCs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</w:r>
    </w:p>
    <w:p>
      <w:pPr>
        <w:contextualSpacing/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Протокол подписан всеми присутствующими на заседании членами Комиссии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03.03.25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contextualSpacing/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0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Протокол составлен секретарем Комиссии, этап согласования подтвержден </w:t>
      </w:r>
      <w:r>
        <w:rPr>
          <w:rFonts w:ascii="Times New Roman" w:hAnsi="Times New Roman" w:cs="Times New Roman"/>
          <w:sz w:val="20"/>
          <w:szCs w:val="20"/>
          <w:highlight w:val="none"/>
        </w:rPr>
        <w:t xml:space="preserve">Роенковой М.Н.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contextualSpacing/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shd w:val="nil" w:color="auto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cs="Times New Roman"/>
          <w:sz w:val="20"/>
          <w:szCs w:val="20"/>
          <w:highlight w:val="none"/>
        </w:rPr>
        <w:br w:type="page" w:clear="all"/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tbl>
      <w:tblPr>
        <w:tblStyle w:val="772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>
        <w:tblPrEx/>
        <w:trPr>
          <w:trHeight w:val="52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4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32"/>
              </w:rPr>
              <w:t xml:space="preserve">Лист согласования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</w:tbl>
    <w:tbl>
      <w:tblPr>
        <w:tblStyle w:val="772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blPrEx/>
        <w:trPr>
          <w:trHeight w:val="31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0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18"/>
              </w:rPr>
              <w:t xml:space="preserve">Регистрационный номер: 35/ПЛП/2025 </w:t>
            </w:r>
            <w:r/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82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dxa"/>
            <w:vAlign w:val="center"/>
            <w:textDirection w:val="lrTb"/>
            <w:noWrap w:val="false"/>
          </w:tcPr>
          <w:p>
            <w:r/>
            <w:r/>
          </w:p>
        </w:tc>
      </w:tr>
    </w:tbl>
    <w:tbl>
      <w:tblPr>
        <w:tblStyle w:val="772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48"/>
        <w:gridCol w:w="1534"/>
        <w:gridCol w:w="1534"/>
        <w:gridCol w:w="1534"/>
        <w:gridCol w:w="1534"/>
        <w:gridCol w:w="1534"/>
        <w:gridCol w:w="1534"/>
      </w:tblGrid>
      <w:tr>
        <w:tblPrEx/>
        <w:trPr>
          <w:trHeight w:val="31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0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18"/>
              </w:rPr>
              <w:t xml:space="preserve">Наименование Управляющей компании или Терминала: Акционерное общество "Петролеспорт"</w:t>
            </w:r>
            <w:r/>
          </w:p>
        </w:tc>
      </w:tr>
    </w:tbl>
    <w:tbl>
      <w:tblPr>
        <w:tblStyle w:val="772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blPrEx/>
        <w:trPr>
          <w:trHeight w:val="31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18"/>
              </w:rPr>
              <w:t xml:space="preserve">Вид документа: Протокол ЦЗК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  <w:tr>
        <w:tblPrEx/>
        <w:trPr>
          <w:trHeight w:val="27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</w:tbl>
    <w:tbl>
      <w:tblPr>
        <w:tblStyle w:val="772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49"/>
        <w:gridCol w:w="1684"/>
        <w:gridCol w:w="1640"/>
        <w:gridCol w:w="1282"/>
        <w:gridCol w:w="36"/>
        <w:gridCol w:w="36"/>
        <w:gridCol w:w="36"/>
        <w:gridCol w:w="36"/>
        <w:gridCol w:w="36"/>
        <w:gridCol w:w="36"/>
      </w:tblGrid>
      <w:tr>
        <w:tblPrEx/>
        <w:trPr>
          <w:trHeight w:val="31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8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18"/>
              </w:rPr>
              <w:t xml:space="preserve">Сотрудник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18"/>
              </w:rPr>
              <w:t xml:space="preserve">Роль / Должность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18"/>
              </w:rPr>
              <w:t xml:space="preserve">Решено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  <w:tr>
        <w:tblPrEx/>
        <w:trPr>
          <w:trHeight w:val="51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8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Роенкова Мария Николаевна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Старший специалист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Согласовано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  <w:tr>
        <w:tblPrEx/>
        <w:trPr>
          <w:trHeight w:val="51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8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Сейфетдинов Тимур Рашидович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Начальник отдела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Согласовано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  <w:tr>
        <w:tblPrEx/>
        <w:trPr>
          <w:trHeight w:val="51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8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Волковыская Наталья Владимировна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Старший эксперт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Согласовано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  <w:tr>
        <w:tblPrEx/>
        <w:trPr>
          <w:trHeight w:val="51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8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Ковалёва Елена Владимировна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Начальник отдела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Согласовано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</w:tbl>
    <w:p>
      <w:pPr>
        <w:contextualSpacing/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16"/>
          <w:highlight w:val="white"/>
        </w:rPr>
        <w:t xml:space="preserve"> ﻿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r/>
      <w:r/>
    </w:p>
    <w:p>
      <w:r/>
      <w:r/>
    </w:p>
    <w:p>
      <w:pPr>
        <w:ind w:left="0" w:firstLine="0"/>
        <w:jc w:val="both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709" w:right="850" w:bottom="1134" w:left="1020" w:header="283" w:footer="709" w:gutter="0"/>
      <w:cols w:num="1" w:sep="0" w:space="708" w:equalWidth="1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valeria.gorshkova" w:date="2025-01-09T12:08:06Z" w:initials="v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Указать валюту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69926242" w16cex:dateUtc="2025-01-09T09:08:0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992624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6"/>
      <w:spacing w:before="0" w:beforeAutospacing="1" w:afterAutospacing="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/>
        <w:color w:val="000000"/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/>
        <w:color w:val="000000"/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ascii="Times New Roman" w:hAnsi="Times New Roman" w:eastAsia="Times New Roman" w:cs="Times New Roman"/>
        <w:b/>
        <w:bCs w:val="0"/>
        <w:color w:val="000000"/>
        <w:sz w:val="18"/>
        <w:szCs w:val="18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ascii="Times New Roman" w:hAnsi="Times New Roman" w:eastAsia="Times New Roman" w:cs="Times New Roman"/>
        <w:b/>
        <w:bCs w:val="0"/>
        <w:color w:val="000000"/>
        <w:sz w:val="18"/>
        <w:szCs w:val="18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ascii="Times New Roman" w:hAnsi="Times New Roman" w:eastAsia="Times New Roman" w:cs="Times New Roman"/>
        <w:b/>
        <w:bCs w:val="0"/>
        <w:color w:val="000000"/>
        <w:sz w:val="18"/>
        <w:szCs w:val="18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  <w:i w:val="0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/>
        <w:color w:val="000000"/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/>
        <w:color w:val="000000"/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  <w:i w:val="0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  <w:i w:val="0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valeria.gorshkova">
    <w15:presenceInfo w15:providerId="Teamlab" w15:userId="valeria.gorshkov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0">
    <w:name w:val="Heading 1"/>
    <w:basedOn w:val="916"/>
    <w:next w:val="916"/>
    <w:link w:val="74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41">
    <w:name w:val="Heading 1 Char"/>
    <w:link w:val="740"/>
    <w:uiPriority w:val="9"/>
    <w:rPr>
      <w:rFonts w:ascii="Arial" w:hAnsi="Arial" w:eastAsia="Arial" w:cs="Arial"/>
      <w:sz w:val="40"/>
      <w:szCs w:val="40"/>
    </w:rPr>
  </w:style>
  <w:style w:type="paragraph" w:styleId="742">
    <w:name w:val="Heading 2"/>
    <w:basedOn w:val="916"/>
    <w:next w:val="916"/>
    <w:link w:val="74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3">
    <w:name w:val="Heading 2 Char"/>
    <w:link w:val="742"/>
    <w:uiPriority w:val="9"/>
    <w:rPr>
      <w:rFonts w:ascii="Arial" w:hAnsi="Arial" w:eastAsia="Arial" w:cs="Arial"/>
      <w:sz w:val="34"/>
    </w:rPr>
  </w:style>
  <w:style w:type="paragraph" w:styleId="744">
    <w:name w:val="Heading 3"/>
    <w:basedOn w:val="916"/>
    <w:next w:val="916"/>
    <w:link w:val="74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5">
    <w:name w:val="Heading 3 Char"/>
    <w:link w:val="744"/>
    <w:uiPriority w:val="9"/>
    <w:rPr>
      <w:rFonts w:ascii="Arial" w:hAnsi="Arial" w:eastAsia="Arial" w:cs="Arial"/>
      <w:sz w:val="30"/>
      <w:szCs w:val="30"/>
    </w:rPr>
  </w:style>
  <w:style w:type="paragraph" w:styleId="746">
    <w:name w:val="Heading 4"/>
    <w:basedOn w:val="916"/>
    <w:next w:val="916"/>
    <w:link w:val="74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7">
    <w:name w:val="Heading 4 Char"/>
    <w:link w:val="746"/>
    <w:uiPriority w:val="9"/>
    <w:rPr>
      <w:rFonts w:ascii="Arial" w:hAnsi="Arial" w:eastAsia="Arial" w:cs="Arial"/>
      <w:b/>
      <w:bCs/>
      <w:sz w:val="26"/>
      <w:szCs w:val="26"/>
    </w:rPr>
  </w:style>
  <w:style w:type="paragraph" w:styleId="748">
    <w:name w:val="Heading 5"/>
    <w:basedOn w:val="916"/>
    <w:next w:val="916"/>
    <w:link w:val="74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49">
    <w:name w:val="Heading 5 Char"/>
    <w:link w:val="748"/>
    <w:uiPriority w:val="9"/>
    <w:rPr>
      <w:rFonts w:ascii="Arial" w:hAnsi="Arial" w:eastAsia="Arial" w:cs="Arial"/>
      <w:b/>
      <w:bCs/>
      <w:sz w:val="24"/>
      <w:szCs w:val="24"/>
    </w:rPr>
  </w:style>
  <w:style w:type="paragraph" w:styleId="750">
    <w:name w:val="Heading 6"/>
    <w:basedOn w:val="916"/>
    <w:next w:val="916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1">
    <w:name w:val="Heading 6 Char"/>
    <w:link w:val="750"/>
    <w:uiPriority w:val="9"/>
    <w:rPr>
      <w:rFonts w:ascii="Arial" w:hAnsi="Arial" w:eastAsia="Arial" w:cs="Arial"/>
      <w:b/>
      <w:bCs/>
      <w:sz w:val="22"/>
      <w:szCs w:val="22"/>
    </w:rPr>
  </w:style>
  <w:style w:type="paragraph" w:styleId="752">
    <w:name w:val="Heading 7"/>
    <w:basedOn w:val="916"/>
    <w:next w:val="916"/>
    <w:link w:val="75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3">
    <w:name w:val="Heading 7 Char"/>
    <w:link w:val="75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4">
    <w:name w:val="Heading 8"/>
    <w:basedOn w:val="916"/>
    <w:next w:val="916"/>
    <w:link w:val="75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5">
    <w:name w:val="Heading 8 Char"/>
    <w:link w:val="754"/>
    <w:uiPriority w:val="9"/>
    <w:rPr>
      <w:rFonts w:ascii="Arial" w:hAnsi="Arial" w:eastAsia="Arial" w:cs="Arial"/>
      <w:i/>
      <w:iCs/>
      <w:sz w:val="22"/>
      <w:szCs w:val="22"/>
    </w:rPr>
  </w:style>
  <w:style w:type="paragraph" w:styleId="756">
    <w:name w:val="Heading 9"/>
    <w:basedOn w:val="916"/>
    <w:next w:val="916"/>
    <w:link w:val="75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7">
    <w:name w:val="Heading 9 Char"/>
    <w:link w:val="756"/>
    <w:uiPriority w:val="9"/>
    <w:rPr>
      <w:rFonts w:ascii="Arial" w:hAnsi="Arial" w:eastAsia="Arial" w:cs="Arial"/>
      <w:i/>
      <w:iCs/>
      <w:sz w:val="21"/>
      <w:szCs w:val="21"/>
    </w:rPr>
  </w:style>
  <w:style w:type="paragraph" w:styleId="758">
    <w:name w:val="Title"/>
    <w:basedOn w:val="916"/>
    <w:next w:val="916"/>
    <w:link w:val="75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9">
    <w:name w:val="Title Char"/>
    <w:link w:val="758"/>
    <w:uiPriority w:val="10"/>
    <w:rPr>
      <w:sz w:val="48"/>
      <w:szCs w:val="48"/>
    </w:rPr>
  </w:style>
  <w:style w:type="paragraph" w:styleId="760">
    <w:name w:val="Subtitle"/>
    <w:basedOn w:val="916"/>
    <w:next w:val="916"/>
    <w:link w:val="761"/>
    <w:uiPriority w:val="11"/>
    <w:qFormat/>
    <w:pPr>
      <w:spacing w:before="200" w:after="200"/>
    </w:pPr>
    <w:rPr>
      <w:sz w:val="24"/>
      <w:szCs w:val="24"/>
    </w:rPr>
  </w:style>
  <w:style w:type="character" w:styleId="761">
    <w:name w:val="Subtitle Char"/>
    <w:link w:val="760"/>
    <w:uiPriority w:val="11"/>
    <w:rPr>
      <w:sz w:val="24"/>
      <w:szCs w:val="24"/>
    </w:rPr>
  </w:style>
  <w:style w:type="paragraph" w:styleId="762">
    <w:name w:val="Quote"/>
    <w:basedOn w:val="916"/>
    <w:next w:val="916"/>
    <w:link w:val="763"/>
    <w:uiPriority w:val="29"/>
    <w:qFormat/>
    <w:pPr>
      <w:ind w:left="720" w:right="720"/>
    </w:pPr>
    <w:rPr>
      <w:i/>
    </w:rPr>
  </w:style>
  <w:style w:type="character" w:styleId="763">
    <w:name w:val="Quote Char"/>
    <w:link w:val="762"/>
    <w:uiPriority w:val="29"/>
    <w:rPr>
      <w:i/>
    </w:rPr>
  </w:style>
  <w:style w:type="paragraph" w:styleId="764">
    <w:name w:val="Intense Quote"/>
    <w:basedOn w:val="916"/>
    <w:next w:val="916"/>
    <w:link w:val="76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5">
    <w:name w:val="Intense Quote Char"/>
    <w:link w:val="764"/>
    <w:uiPriority w:val="30"/>
    <w:rPr>
      <w:i/>
    </w:rPr>
  </w:style>
  <w:style w:type="paragraph" w:styleId="766">
    <w:name w:val="Header"/>
    <w:basedOn w:val="916"/>
    <w:link w:val="76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7">
    <w:name w:val="Header Char"/>
    <w:link w:val="766"/>
    <w:uiPriority w:val="99"/>
  </w:style>
  <w:style w:type="paragraph" w:styleId="768">
    <w:name w:val="Footer"/>
    <w:basedOn w:val="916"/>
    <w:link w:val="77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9">
    <w:name w:val="Footer Char"/>
    <w:link w:val="768"/>
    <w:uiPriority w:val="99"/>
  </w:style>
  <w:style w:type="paragraph" w:styleId="770">
    <w:name w:val="Caption"/>
    <w:basedOn w:val="916"/>
    <w:next w:val="91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1">
    <w:name w:val="Caption Char"/>
    <w:basedOn w:val="770"/>
    <w:link w:val="768"/>
    <w:uiPriority w:val="99"/>
  </w:style>
  <w:style w:type="table" w:styleId="772">
    <w:name w:val="Table Grid"/>
    <w:basedOn w:val="91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3">
    <w:name w:val="Table Grid Light"/>
    <w:basedOn w:val="9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4">
    <w:name w:val="Plain Table 1"/>
    <w:basedOn w:val="9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5">
    <w:name w:val="Plain Table 2"/>
    <w:basedOn w:val="91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6">
    <w:name w:val="Plain Table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7">
    <w:name w:val="Plain Table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Plain Table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9">
    <w:name w:val="Grid Table 1 Light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Grid Table 1 Light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1 Light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1 Light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2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2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2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3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4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1">
    <w:name w:val="Grid Table 4 - Accent 1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2">
    <w:name w:val="Grid Table 4 - Accent 2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3">
    <w:name w:val="Grid Table 4 - Accent 3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4">
    <w:name w:val="Grid Table 4 - Accent 4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5">
    <w:name w:val="Grid Table 4 - Accent 5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6">
    <w:name w:val="Grid Table 4 - Accent 6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7">
    <w:name w:val="Grid Table 5 Dark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8">
    <w:name w:val="Grid Table 5 Dark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09">
    <w:name w:val="Grid Table 5 Dark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11">
    <w:name w:val="Grid Table 5 Dark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12">
    <w:name w:val="Grid Table 5 Dark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13">
    <w:name w:val="Grid Table 5 Dark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14">
    <w:name w:val="Grid Table 6 Colorful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5">
    <w:name w:val="Grid Table 6 Colorful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6">
    <w:name w:val="Grid Table 6 Colorful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7">
    <w:name w:val="Grid Table 6 Colorful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8">
    <w:name w:val="Grid Table 6 Colorful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9">
    <w:name w:val="Grid Table 6 Colorful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0">
    <w:name w:val="Grid Table 6 Colorful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1">
    <w:name w:val="Grid Table 7 Colorful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7 Colorful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7 Colorful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7 Colorful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1 Light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6">
    <w:name w:val="List Table 2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7">
    <w:name w:val="List Table 2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8">
    <w:name w:val="List Table 2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9">
    <w:name w:val="List Table 2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0">
    <w:name w:val="List Table 2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1">
    <w:name w:val="List Table 2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2">
    <w:name w:val="List Table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3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3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3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4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5 Dark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7">
    <w:name w:val="List Table 5 Dark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8">
    <w:name w:val="List Table 5 Dark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5 Dark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2">
    <w:name w:val="List Table 5 Dark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3">
    <w:name w:val="List Table 6 Colorful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4">
    <w:name w:val="List Table 6 Colorful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5">
    <w:name w:val="List Table 6 Colorful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6">
    <w:name w:val="List Table 6 Colorful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7">
    <w:name w:val="List Table 6 Colorful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8">
    <w:name w:val="List Table 6 Colorful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9">
    <w:name w:val="List Table 6 Colorful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0">
    <w:name w:val="List Table 7 Colorful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1">
    <w:name w:val="List Table 7 Colorful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72">
    <w:name w:val="List Table 7 Colorful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73">
    <w:name w:val="List Table 7 Colorful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74">
    <w:name w:val="List Table 7 Colorful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75">
    <w:name w:val="List Table 7 Colorful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76">
    <w:name w:val="List Table 7 Colorful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77">
    <w:name w:val="Lined - Accent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8">
    <w:name w:val="Lined - Accent 1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9">
    <w:name w:val="Lined - Accent 2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0">
    <w:name w:val="Lined - Accent 3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1">
    <w:name w:val="Lined - Accent 4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2">
    <w:name w:val="Lined - Accent 5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3">
    <w:name w:val="Lined - Accent 6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4">
    <w:name w:val="Bordered &amp; Lined - Accent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5">
    <w:name w:val="Bordered &amp; Lined - Accent 1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6">
    <w:name w:val="Bordered &amp; Lined - Accent 2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7">
    <w:name w:val="Bordered &amp; Lined - Accent 3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8">
    <w:name w:val="Bordered &amp; Lined - Accent 4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9">
    <w:name w:val="Bordered &amp; Lined - Accent 5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90">
    <w:name w:val="Bordered &amp; Lined - Accent 6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91">
    <w:name w:val="Bordered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2">
    <w:name w:val="Bordered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3">
    <w:name w:val="Bordered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4">
    <w:name w:val="Bordered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5">
    <w:name w:val="Bordered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6">
    <w:name w:val="Bordered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7">
    <w:name w:val="Bordered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8">
    <w:name w:val="Hyperlink"/>
    <w:uiPriority w:val="99"/>
    <w:unhideWhenUsed/>
    <w:rPr>
      <w:color w:val="0000ff" w:themeColor="hyperlink"/>
      <w:u w:val="single"/>
    </w:rPr>
  </w:style>
  <w:style w:type="paragraph" w:styleId="899">
    <w:name w:val="footnote text"/>
    <w:basedOn w:val="916"/>
    <w:link w:val="900"/>
    <w:uiPriority w:val="99"/>
    <w:semiHidden/>
    <w:unhideWhenUsed/>
    <w:pPr>
      <w:spacing w:after="40" w:line="240" w:lineRule="auto"/>
    </w:pPr>
    <w:rPr>
      <w:sz w:val="18"/>
    </w:rPr>
  </w:style>
  <w:style w:type="character" w:styleId="900">
    <w:name w:val="Footnote Text Char"/>
    <w:link w:val="899"/>
    <w:uiPriority w:val="99"/>
    <w:rPr>
      <w:sz w:val="18"/>
    </w:rPr>
  </w:style>
  <w:style w:type="character" w:styleId="901">
    <w:name w:val="footnote reference"/>
    <w:uiPriority w:val="99"/>
    <w:unhideWhenUsed/>
    <w:rPr>
      <w:vertAlign w:val="superscript"/>
    </w:rPr>
  </w:style>
  <w:style w:type="paragraph" w:styleId="902">
    <w:name w:val="endnote text"/>
    <w:basedOn w:val="916"/>
    <w:link w:val="903"/>
    <w:uiPriority w:val="99"/>
    <w:semiHidden/>
    <w:unhideWhenUsed/>
    <w:pPr>
      <w:spacing w:after="0" w:line="240" w:lineRule="auto"/>
    </w:pPr>
    <w:rPr>
      <w:sz w:val="20"/>
    </w:rPr>
  </w:style>
  <w:style w:type="character" w:styleId="903">
    <w:name w:val="Endnote Text Char"/>
    <w:link w:val="902"/>
    <w:uiPriority w:val="99"/>
    <w:rPr>
      <w:sz w:val="20"/>
    </w:rPr>
  </w:style>
  <w:style w:type="character" w:styleId="904">
    <w:name w:val="endnote reference"/>
    <w:uiPriority w:val="99"/>
    <w:semiHidden/>
    <w:unhideWhenUsed/>
    <w:rPr>
      <w:vertAlign w:val="superscript"/>
    </w:rPr>
  </w:style>
  <w:style w:type="paragraph" w:styleId="905">
    <w:name w:val="toc 1"/>
    <w:basedOn w:val="916"/>
    <w:next w:val="916"/>
    <w:uiPriority w:val="39"/>
    <w:unhideWhenUsed/>
    <w:pPr>
      <w:ind w:left="0" w:right="0" w:firstLine="0"/>
      <w:spacing w:after="57"/>
    </w:pPr>
  </w:style>
  <w:style w:type="paragraph" w:styleId="906">
    <w:name w:val="toc 2"/>
    <w:basedOn w:val="916"/>
    <w:next w:val="916"/>
    <w:uiPriority w:val="39"/>
    <w:unhideWhenUsed/>
    <w:pPr>
      <w:ind w:left="283" w:right="0" w:firstLine="0"/>
      <w:spacing w:after="57"/>
    </w:pPr>
  </w:style>
  <w:style w:type="paragraph" w:styleId="907">
    <w:name w:val="toc 3"/>
    <w:basedOn w:val="916"/>
    <w:next w:val="916"/>
    <w:uiPriority w:val="39"/>
    <w:unhideWhenUsed/>
    <w:pPr>
      <w:ind w:left="567" w:right="0" w:firstLine="0"/>
      <w:spacing w:after="57"/>
    </w:pPr>
  </w:style>
  <w:style w:type="paragraph" w:styleId="908">
    <w:name w:val="toc 4"/>
    <w:basedOn w:val="916"/>
    <w:next w:val="916"/>
    <w:uiPriority w:val="39"/>
    <w:unhideWhenUsed/>
    <w:pPr>
      <w:ind w:left="850" w:right="0" w:firstLine="0"/>
      <w:spacing w:after="57"/>
    </w:pPr>
  </w:style>
  <w:style w:type="paragraph" w:styleId="909">
    <w:name w:val="toc 5"/>
    <w:basedOn w:val="916"/>
    <w:next w:val="916"/>
    <w:uiPriority w:val="39"/>
    <w:unhideWhenUsed/>
    <w:pPr>
      <w:ind w:left="1134" w:right="0" w:firstLine="0"/>
      <w:spacing w:after="57"/>
    </w:pPr>
  </w:style>
  <w:style w:type="paragraph" w:styleId="910">
    <w:name w:val="toc 6"/>
    <w:basedOn w:val="916"/>
    <w:next w:val="916"/>
    <w:uiPriority w:val="39"/>
    <w:unhideWhenUsed/>
    <w:pPr>
      <w:ind w:left="1417" w:right="0" w:firstLine="0"/>
      <w:spacing w:after="57"/>
    </w:pPr>
  </w:style>
  <w:style w:type="paragraph" w:styleId="911">
    <w:name w:val="toc 7"/>
    <w:basedOn w:val="916"/>
    <w:next w:val="916"/>
    <w:uiPriority w:val="39"/>
    <w:unhideWhenUsed/>
    <w:pPr>
      <w:ind w:left="1701" w:right="0" w:firstLine="0"/>
      <w:spacing w:after="57"/>
    </w:pPr>
  </w:style>
  <w:style w:type="paragraph" w:styleId="912">
    <w:name w:val="toc 8"/>
    <w:basedOn w:val="916"/>
    <w:next w:val="916"/>
    <w:uiPriority w:val="39"/>
    <w:unhideWhenUsed/>
    <w:pPr>
      <w:ind w:left="1984" w:right="0" w:firstLine="0"/>
      <w:spacing w:after="57"/>
    </w:pPr>
  </w:style>
  <w:style w:type="paragraph" w:styleId="913">
    <w:name w:val="toc 9"/>
    <w:basedOn w:val="916"/>
    <w:next w:val="916"/>
    <w:uiPriority w:val="39"/>
    <w:unhideWhenUsed/>
    <w:pPr>
      <w:ind w:left="2268" w:right="0" w:firstLine="0"/>
      <w:spacing w:after="57"/>
    </w:pPr>
  </w:style>
  <w:style w:type="paragraph" w:styleId="914">
    <w:name w:val="TOC Heading"/>
    <w:uiPriority w:val="39"/>
    <w:unhideWhenUsed/>
  </w:style>
  <w:style w:type="paragraph" w:styleId="915">
    <w:name w:val="table of figures"/>
    <w:basedOn w:val="916"/>
    <w:next w:val="916"/>
    <w:uiPriority w:val="99"/>
    <w:unhideWhenUsed/>
    <w:pPr>
      <w:spacing w:after="0" w:afterAutospacing="0"/>
    </w:pPr>
  </w:style>
  <w:style w:type="paragraph" w:styleId="916" w:default="1">
    <w:name w:val="Normal"/>
    <w:qFormat/>
  </w:style>
  <w:style w:type="table" w:styleId="9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8" w:default="1">
    <w:name w:val="No List"/>
    <w:uiPriority w:val="99"/>
    <w:semiHidden/>
    <w:unhideWhenUsed/>
  </w:style>
  <w:style w:type="paragraph" w:styleId="919">
    <w:name w:val="No Spacing"/>
    <w:basedOn w:val="916"/>
    <w:uiPriority w:val="1"/>
    <w:qFormat/>
    <w:pPr>
      <w:spacing w:after="0" w:line="240" w:lineRule="auto"/>
    </w:pPr>
  </w:style>
  <w:style w:type="paragraph" w:styleId="920">
    <w:name w:val="List Paragraph"/>
    <w:basedOn w:val="916"/>
    <w:uiPriority w:val="34"/>
    <w:qFormat/>
    <w:pPr>
      <w:contextualSpacing/>
      <w:ind w:left="720"/>
    </w:pPr>
  </w:style>
  <w:style w:type="character" w:styleId="921" w:default="1">
    <w:name w:val="Default Paragraph Font"/>
    <w:uiPriority w:val="1"/>
    <w:semiHidden/>
    <w:unhideWhenUsed/>
  </w:style>
  <w:style w:type="paragraph" w:styleId="922" w:customStyle="1">
    <w:name w:val="Основной текст1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0" w:lineRule="atLeast"/>
      <w:shd w:val="clear" w:color="auto" w:fill="ffffff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23" w:customStyle="1">
    <w:name w:val="Основной текст2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720" w:afterAutospacing="0" w:line="0" w:lineRule="atLeast"/>
      <w:shd w:val="clear" w:color="auto" w:fill="ffffff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Arial Unicode MS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24" w:customStyle="1">
    <w:name w:val="Основной текст (3)"/>
    <w:basedOn w:val="908"/>
    <w:link w:val="920"/>
    <w:pPr>
      <w:contextualSpacing w:val="0"/>
      <w:ind w:left="0" w:right="0" w:firstLine="0"/>
      <w:jc w:val="left"/>
      <w:keepLines w:val="0"/>
      <w:keepNext w:val="0"/>
      <w:pageBreakBefore w:val="0"/>
      <w:spacing w:before="300" w:beforeAutospacing="0" w:after="0" w:afterAutospacing="0" w:line="274" w:lineRule="exact"/>
      <w:shd w:val="clear" w:color="auto" w:fill="ffffff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3"/>
      <w:szCs w:val="23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://www.zakupki.gov.ru" TargetMode="External"/><Relationship Id="rId12" Type="http://schemas.openxmlformats.org/officeDocument/2006/relationships/comments" Target="comments.xml" /><Relationship Id="rId13" Type="http://schemas.microsoft.com/office/2011/relationships/commentsExtended" Target="commentsExtended.xml" /><Relationship Id="rId14" Type="http://schemas.microsoft.com/office/2018/08/relationships/commentsExtensible" Target="commentsExtensible.xml" /><Relationship Id="rId15" Type="http://schemas.microsoft.com/office/2016/09/relationships/commentsIds" Target="commentsIds.xml" /><Relationship Id="rId16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41</cp:revision>
  <dcterms:modified xsi:type="dcterms:W3CDTF">2025-03-03T10:55:34Z</dcterms:modified>
</cp:coreProperties>
</file>