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0"/>
      </w:pPr>
      <w:r>
        <w:rPr>
          <w:b w:val="1"/>
          <w:bCs w:val="1"/>
        </w:rPr>
        <w:t xml:space="preserve">Протокол</w:t>
      </w:r>
    </w:p>
    <w:p>
      <w:pPr>
        <w:jc w:val="center"/>
        <w:spacing w:after="0"/>
      </w:pPr>
      <w:r>
        <w:rPr>
          <w:b w:val="1"/>
          <w:bCs w:val="1"/>
        </w:rPr>
        <w:t xml:space="preserve">подведения итогов процедуры</w:t>
      </w:r>
    </w:p>
    <w:p>
      <w:pPr>
        <w:jc w:val="center"/>
        <w:spacing w:after="0"/>
      </w:pPr>
      <w:r>
        <w:rPr>
          <w:b w:val="1"/>
          <w:bCs w:val="1"/>
        </w:rPr>
        <w:t xml:space="preserve">32515384910</w:t>
      </w:r>
    </w:p>
    <w:tbl>
      <w:tblGrid>
        <w:gridCol w:w="5000" w:type="dxa"/>
        <w:gridCol w:w="5000" w:type="dxa"/>
      </w:tblGrid>
      <w:tr>
        <w:trPr/>
        <w:tc>
          <w:tcPr>
            <w:tcW w:w="5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«28» ноября 2025г.</w:t>
            </w:r>
          </w:p>
        </w:tc>
      </w:tr>
    </w:tbl>
    <w:p>
      <w:pPr/>
      <w:r>
        <w:rPr>
          <w:b w:val="1"/>
          <w:bCs w:val="1"/>
        </w:rPr>
        <w:t xml:space="preserve">Организатором является: </w:t>
      </w:r>
      <w:r>
        <w:rPr>
          <w:b w:val="0"/>
          <w:bCs w:val="0"/>
        </w:rPr>
        <w:t xml:space="preserve">ФЕДЕРАЛЬНОЕ ГОСУДАРСТВЕННОЕ БЮДЖЕТНОЕ УЧРЕЖДЕНИЕ ЗДРАВООХРАНЕНИЯ "МЕДИКО-САНИТАРНАЯ ЧАСТЬ № 142 ФЕДЕРАЛЬНОГО МЕДИКО-БИОЛОГИЧЕСКОГО АГЕНТСТВА"</w:t>
      </w:r>
      <w:br/>
      <w:r>
        <w:rPr>
          <w:b w:val="1"/>
          <w:bCs w:val="1"/>
        </w:rPr>
        <w:t xml:space="preserve">Заказчиком является: </w:t>
      </w:r>
      <w:r>
        <w:rPr>
          <w:b w:val="0"/>
          <w:bCs w:val="0"/>
        </w:rPr>
        <w:t xml:space="preserve">ФЕДЕРАЛЬНОЕ ГОСУДАРСТВЕННОЕ БЮДЖЕТНОЕ УЧРЕЖДЕНИЕ ЗДРАВООХРАНЕНИЯ "МЕДИКО-САНИТАРНАЯ ЧАСТЬ № 142 ФЕДЕРАЛЬНОГО МЕДИКО-БИОЛОГИЧЕСКОГО АГЕНТСТВА"</w:t>
      </w:r>
    </w:p>
    <w:p/>
    <w:p>
      <w:pPr/>
      <w:r>
        <w:rPr>
          <w:b w:val="1"/>
          <w:bCs w:val="1"/>
        </w:rPr>
        <w:t xml:space="preserve">Способ закупки: </w:t>
      </w:r>
    </w:p>
    <w:p>
      <w:pPr/>
      <w:r>
        <w:rPr>
          <w:b w:val="0"/>
          <w:bCs w:val="0"/>
        </w:rPr>
        <w:t xml:space="preserve">Аукцион в электронной форме (по 223-ФЗ)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Наименование процедуры: </w:t>
      </w:r>
      <w:r>
        <w:rPr>
          <w:b w:val="0"/>
          <w:bCs w:val="0"/>
        </w:rPr>
        <w:t xml:space="preserve">Выполнение работ на объекте: монтаж охранной сигнализации в здании поликлиники № 2 ФГБУЗ МСЧ № 142 ФМБА России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Предмет договора лота: </w:t>
      </w:r>
      <w:r>
        <w:rPr>
          <w:b w:val="0"/>
          <w:bCs w:val="0"/>
        </w:rPr>
        <w:t xml:space="preserve">Монтаж  охранной сигнализации в здании поликлиники № 2 ФГБУЗ МСЧ №142 ФМБА России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Начальная (максимальная) цена договора, лота: </w:t>
      </w:r>
      <w:r>
        <w:rPr>
          <w:b w:val="0"/>
          <w:bCs w:val="0"/>
        </w:rPr>
        <w:t xml:space="preserve">1 185 267.41 (с учетом НДС) в валюте - Российский рубль</w:t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Извещение о проведении настоящей процедуры и документация были размещены «10» ноября 2025г. на сайте АО «Единая электронная торговая площадка» (АО «ЕЭТП»), по адресу в сети «Интернет»: </w:t>
      </w:r>
      <w:hyperlink r:id="rId7" w:history="1">
        <w:r>
          <w:t xml:space="preserve">https://corp.roseltorg.ru</w:t>
        </w:r>
      </w:hyperlink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Были рассмотрены заявки следующих участников процедуры:</w:t>
      </w:r>
    </w:p>
    <w:tbl>
      <w:tblGrid>
        <w:gridCol w:w="2000" w:type="dxa"/>
        <w:gridCol w:w="2000" w:type="dxa"/>
        <w:gridCol w:w="2000" w:type="dxa"/>
        <w:gridCol w:w="5500" w:type="dxa"/>
        <w:gridCol w:w="5500" w:type="dxa"/>
        <w:gridCol w:w="5500" w:type="dxa"/>
      </w:tblGrid>
      <w:tblPr>
        <w:tblStyle w:val="style60222"/>
      </w:tblPr>
      <w:tr>
        <w:trPr>
          <w:cantSplit w:val="1"/>
        </w:trPr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Номер заявки в лоте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Номер заявки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tcW w:w="5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Дата и время регистрации заявок (МСК)</w:t>
            </w:r>
          </w:p>
        </w:tc>
        <w:tc>
          <w:tcPr>
            <w:tcW w:w="5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Решение о допуске заявки</w:t>
            </w:r>
          </w:p>
        </w:tc>
        <w:tc>
          <w:tcPr>
            <w:tcW w:w="5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Основание для решения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3913128203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"БАШКИРСКОЕ ДОБРОВОЛЬНОЕ ПОЖАРНОЕ ОБЩЕСТВО", 450071, РЕСПУБЛИКА БАШКОРТОСТАН, г.о. ГОРОД УФА, Г УФА, УЛ МЕНДЕЛЕЕВА, Д. 225, ПОМЕЩ. 8, ИНН 0278064416, КПП 027601001, ОГРН 1030204599710</w:t>
            </w:r>
          </w:p>
        </w:tc>
        <w:tc>
          <w:tcPr>
            <w:tcW w:w="5500" w:type="dxa"/>
          </w:tcPr>
          <w:p>
            <w:pPr>
              <w:jc w:val="center"/>
            </w:pPr>
            <w:r>
              <w:rPr/>
              <w:t xml:space="preserve">24.11.2025 09:12:25</w:t>
            </w:r>
          </w:p>
        </w:tc>
        <w:tc>
          <w:tcPr>
            <w:tcW w:w="550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  <w:tc>
          <w:tcPr>
            <w:tcW w:w="5500" w:type="dxa"/>
          </w:tcPr>
          <w:p>
            <w:pPr>
              <w:jc w:val="center"/>
            </w:pPr>
            <w:r>
              <w:rPr/>
              <w:t xml:space="preserve">Состав документов заявителя соответствует требованиям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333620417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"ВАША БЕЗОПАСНОСТЬ", 450055, РЕСПУБЛИКА БАШКОРТОСТАН, Г. УФА, ПР-КТ ОКТЯБРЯ, Д. 174/2, ИНН 0276159180, КПП 027701001, ОГРН 1140280046818</w:t>
            </w:r>
          </w:p>
        </w:tc>
        <w:tc>
          <w:tcPr>
            <w:tcW w:w="5500" w:type="dxa"/>
          </w:tcPr>
          <w:p>
            <w:pPr>
              <w:jc w:val="center"/>
            </w:pPr>
            <w:r>
              <w:rPr/>
              <w:t xml:space="preserve">25.11.2025 10:23:09</w:t>
            </w:r>
          </w:p>
        </w:tc>
        <w:tc>
          <w:tcPr>
            <w:tcW w:w="550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  <w:tc>
          <w:tcPr>
            <w:tcW w:w="5500" w:type="dxa"/>
          </w:tcPr>
          <w:p>
            <w:pPr>
              <w:jc w:val="center"/>
            </w:pPr>
            <w:r>
              <w:rPr/>
              <w:t xml:space="preserve">Состав документов заявителя соответствует требованиям</w:t>
            </w:r>
          </w:p>
        </w:tc>
      </w:tr>
    </w:tbl>
    <w:p>
      <w:pPr/>
      <w:r>
        <w:rPr/>
        <w:t xml:space="preserve">Для участия в процедуре было подано 2 заявки от участников, 0 заявок отозвано, место не присвоено 0 заявок.</w:t>
      </w:r>
    </w:p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Сопоставление ценовых предложений допущенных участников процедуры:</w:t>
      </w:r>
    </w:p>
    <w:tbl>
      <w:tblGrid>
        <w:gridCol w:w="1866.6666666666667" w:type="dxa"/>
        <w:gridCol w:w="1866.6666666666667" w:type="dxa"/>
        <w:gridCol w:w="1866.6666666666667" w:type="dxa"/>
        <w:gridCol w:w="5266.666666666667" w:type="dxa"/>
        <w:gridCol w:w="5266.666666666667" w:type="dxa"/>
        <w:gridCol w:w="5266.666666666667" w:type="dxa"/>
      </w:tblGrid>
      <w:tblPr>
        <w:tblStyle w:val="style86534"/>
      </w:tblPr>
      <w:tr>
        <w:trPr>
          <w:cantSplit w:val="1"/>
        </w:trPr>
        <w:tc>
          <w:tcPr>
            <w:tcW w:w="1866.666666666666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Номер заявки в лоте</w:t>
            </w:r>
          </w:p>
        </w:tc>
        <w:tc>
          <w:tcPr>
            <w:tcW w:w="1866.666666666666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Номер заявки</w:t>
            </w:r>
          </w:p>
        </w:tc>
        <w:tc>
          <w:tcPr>
            <w:tcW w:w="1866.666666666666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tcW w:w="5266.66666666666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Ценовое предложение без НДС</w:t>
            </w:r>
          </w:p>
        </w:tc>
        <w:tc>
          <w:tcPr>
            <w:tcW w:w="5266.66666666666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Ценовое предложение с НДС</w:t>
            </w:r>
          </w:p>
        </w:tc>
        <w:tc>
          <w:tcPr>
            <w:tcW w:w="5266.66666666666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Ставка НДС</w:t>
            </w:r>
          </w:p>
        </w:tc>
      </w:tr>
      <w:tr>
        <w:trPr>
          <w:cantSplit w:val="1"/>
        </w:trPr>
        <w:tc>
          <w:tcPr>
            <w:tcW w:w="1866.6666666666667" w:type="dxa"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1866.6666666666667" w:type="dxa"/>
          </w:tcPr>
          <w:p>
            <w:pPr>
              <w:jc w:val="center"/>
            </w:pPr>
            <w:r>
              <w:rPr/>
              <w:t xml:space="preserve">3913128203</w:t>
            </w:r>
          </w:p>
        </w:tc>
        <w:tc>
          <w:tcPr>
            <w:tcW w:w="1866.6666666666667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"БАШКИРСКОЕ ДОБРОВОЛЬНОЕ ПОЖАРНОЕ ОБЩЕСТВО", 450071, РЕСПУБЛИКА БАШКОРТОСТАН, г.о. ГОРОД УФА, Г УФА, УЛ МЕНДЕЛЕЕВА, Д. 225, ПОМЕЩ. 8, ИНН 0278064416, КПП 027601001, ОГРН 1030204599710</w:t>
            </w:r>
          </w:p>
        </w:tc>
        <w:tc>
          <w:tcPr>
            <w:tcW w:w="5266.666666666667" w:type="dxa"/>
          </w:tcPr>
          <w:p>
            <w:pPr>
              <w:jc w:val="center"/>
            </w:pPr>
            <w:r>
              <w:rPr/>
              <w:t xml:space="preserve">812754.64</w:t>
            </w:r>
          </w:p>
        </w:tc>
        <w:tc>
          <w:tcPr>
            <w:tcW w:w="5266.666666666667" w:type="dxa"/>
          </w:tcPr>
          <w:p>
            <w:pPr>
              <w:jc w:val="center"/>
            </w:pPr>
            <w:r>
              <w:rPr/>
              <w:t xml:space="preserve">853 392.37</w:t>
            </w:r>
          </w:p>
        </w:tc>
        <w:tc>
          <w:tcPr>
            <w:tcW w:w="5266.666666666667" w:type="dxa"/>
          </w:tcPr>
          <w:p>
            <w:pPr>
              <w:jc w:val="center"/>
            </w:pPr>
            <w:r>
              <w:rPr/>
              <w:t xml:space="preserve">5%</w:t>
            </w:r>
          </w:p>
        </w:tc>
      </w:tr>
      <w:tr>
        <w:trPr>
          <w:cantSplit w:val="1"/>
        </w:trPr>
        <w:tc>
          <w:tcPr>
            <w:tcW w:w="1866.6666666666667" w:type="dxa"/>
          </w:tcPr>
          <w:p>
            <w:pPr>
              <w:jc w:val="center"/>
            </w:pPr>
            <w:r>
              <w:rPr/>
              <w:t xml:space="preserve">2</w:t>
            </w:r>
          </w:p>
        </w:tc>
        <w:tc>
          <w:tcPr>
            <w:tcW w:w="1866.6666666666667" w:type="dxa"/>
          </w:tcPr>
          <w:p>
            <w:pPr>
              <w:jc w:val="center"/>
            </w:pPr>
            <w:r>
              <w:rPr/>
              <w:t xml:space="preserve">333620417</w:t>
            </w:r>
          </w:p>
        </w:tc>
        <w:tc>
          <w:tcPr>
            <w:tcW w:w="1866.6666666666667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"ВАША БЕЗОПАСНОСТЬ", 450055, РЕСПУБЛИКА БАШКОРТОСТАН, Г. УФА, ПР-КТ ОКТЯБРЯ, Д. 174/2, ИНН 0276159180, КПП 027701001, ОГРН 1140280046818</w:t>
            </w:r>
          </w:p>
        </w:tc>
        <w:tc>
          <w:tcPr>
            <w:tcW w:w="5266.666666666667" w:type="dxa"/>
          </w:tcPr>
          <w:p>
            <w:pPr>
              <w:jc w:val="center"/>
            </w:pPr>
            <w:r>
              <w:rPr/>
              <w:t xml:space="preserve">818398.77</w:t>
            </w:r>
          </w:p>
        </w:tc>
        <w:tc>
          <w:tcPr>
            <w:tcW w:w="5266.666666666667" w:type="dxa"/>
          </w:tcPr>
          <w:p>
            <w:pPr>
              <w:jc w:val="center"/>
            </w:pPr>
            <w:r>
              <w:rPr/>
              <w:t xml:space="preserve">859 318.71</w:t>
            </w:r>
          </w:p>
        </w:tc>
        <w:tc>
          <w:tcPr>
            <w:tcW w:w="5266.666666666667" w:type="dxa"/>
          </w:tcPr>
          <w:p>
            <w:pPr>
              <w:jc w:val="center"/>
            </w:pPr>
            <w:r>
              <w:rPr/>
              <w:t xml:space="preserve">5%</w:t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Комиссия рассмотрела заявки участников, а также содержащиеся в реестре участников процедур, получивших аккредитацию на электронной площадке, сведения об участниках, подавших данные заявки, и приняла следующее решение:</w:t>
      </w:r>
    </w:p>
    <w:tbl>
      <w:tblGrid>
        <w:gridCol w:w="1828.5714285714287" w:type="dxa"/>
        <w:gridCol w:w="1828.5714285714287" w:type="dxa"/>
        <w:gridCol w:w="1828.5714285714287" w:type="dxa"/>
        <w:gridCol w:w="5228.571428571428" w:type="dxa"/>
        <w:gridCol w:w="1828.5714285714287" w:type="dxa"/>
        <w:gridCol w:w="1828.5714285714287" w:type="dxa"/>
        <w:gridCol w:w="1828.5714285714287" w:type="dxa"/>
      </w:tblGrid>
      <w:tblPr>
        <w:tblStyle w:val="style3969"/>
      </w:tblPr>
      <w:tr>
        <w:trPr>
          <w:cantSplit w:val="1"/>
        </w:trPr>
        <w:tc>
          <w:tcPr>
            <w:tcW w:w="1828.571428571428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Номер заявки в лоте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Номер заявки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tcW w:w="5228.571428571428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Ценовое предложение без НДС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Ценовое предложение с НДС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Ставка НДС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Место заявки</w:t>
            </w:r>
          </w:p>
        </w:tc>
      </w:tr>
      <w:tr>
        <w:trPr>
          <w:cantSplit w:val="1"/>
        </w:trPr>
        <w:tc>
          <w:tcPr>
            <w:tcW w:w="1828.5714285714287" w:type="dxa"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/>
              <w:t xml:space="preserve">3913128203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"БАШКИРСКОЕ ДОБРОВОЛЬНОЕ ПОЖАРНОЕ ОБЩЕСТВО", 450071, РЕСПУБЛИКА БАШКОРТОСТАН, г.о. ГОРОД УФА, Г УФА, УЛ МЕНДЕЛЕЕВА, Д. 225, ПОМЕЩ. 8, ИНН 0278064416, КПП 027601001, ОГРН 1030204599710</w:t>
            </w:r>
          </w:p>
        </w:tc>
        <w:tc>
          <w:tcPr>
            <w:tcW w:w="5228.571428571428" w:type="dxa"/>
          </w:tcPr>
          <w:p>
            <w:pPr>
              <w:jc w:val="center"/>
            </w:pPr>
            <w:r>
              <w:rPr/>
              <w:t xml:space="preserve">812754.64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/>
              <w:t xml:space="preserve">853 392.37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/>
              <w:t xml:space="preserve">5%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>
          <w:cantSplit w:val="1"/>
        </w:trPr>
        <w:tc>
          <w:tcPr>
            <w:tcW w:w="1828.5714285714287" w:type="dxa"/>
          </w:tcPr>
          <w:p>
            <w:pPr>
              <w:jc w:val="center"/>
            </w:pPr>
            <w:r>
              <w:rPr/>
              <w:t xml:space="preserve">2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/>
              <w:t xml:space="preserve">333620417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"ВАША БЕЗОПАСНОСТЬ", 450055, РЕСПУБЛИКА БАШКОРТОСТАН, Г. УФА, ПР-КТ ОКТЯБРЯ, Д. 174/2, ИНН 0276159180, КПП 027701001, ОГРН 1140280046818</w:t>
            </w:r>
          </w:p>
        </w:tc>
        <w:tc>
          <w:tcPr>
            <w:tcW w:w="5228.571428571428" w:type="dxa"/>
          </w:tcPr>
          <w:p>
            <w:pPr>
              <w:jc w:val="center"/>
            </w:pPr>
            <w:r>
              <w:rPr/>
              <w:t xml:space="preserve">818398.77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/>
              <w:t xml:space="preserve">859 318.71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/>
              <w:t xml:space="preserve">5%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Сведения о решении членов комиссии по каждой заявке: Комиссия по осуществлению закупок</w:t>
      </w:r>
    </w:p>
    <w:p>
      <w:pPr/>
      <w:r>
        <w:rPr>
          <w:b w:val="1"/>
          <w:bCs w:val="1"/>
        </w:rPr>
        <w:t xml:space="preserve">Заявка №3913128203 (ОБЩЕСТВО С ОГРАНИЧЕННОЙ ОТВЕТСТВЕННОСТЬЮ "БАШКИРСКОЕ ДОБРОВОЛЬНОЕ ПОЖАРНОЕ ОБЩЕСТВО")</w:t>
      </w:r>
    </w:p>
    <w:tbl>
      <w:tblGrid>
        <w:gridCol w:w="5000" w:type="dxa"/>
        <w:gridCol w:w="5000" w:type="dxa"/>
      </w:tblGrid>
      <w:tblPr>
        <w:tblStyle w:val="style58834"/>
      </w:tblP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Член комиссии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Решение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Талалаева Елена Алексеевна (контрактный управляющий)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1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Харрасова Валентина Александровна (главный бухгалтер)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1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Степанова Софья Ивановна (специалист в сфере закупок)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1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Втулкина  Татьяна Нестеровна (начальник хозяйственного отдела)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1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Аракчеева Татьяна Павловна (кладовщик)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1 место</w:t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/>
      <w:r>
        <w:rPr>
          <w:b w:val="1"/>
          <w:bCs w:val="1"/>
        </w:rPr>
        <w:t xml:space="preserve">Заявка №333620417 (ОБЩЕСТВО С ОГРАНИЧЕННОЙ ОТВЕТСТВЕННОСТЬЮ "ВАША БЕЗОПАСНОСТЬ")</w:t>
      </w:r>
    </w:p>
    <w:tbl>
      <w:tblGrid>
        <w:gridCol w:w="5000" w:type="dxa"/>
        <w:gridCol w:w="5000" w:type="dxa"/>
      </w:tblGrid>
      <w:tblPr>
        <w:tblStyle w:val="style8467"/>
      </w:tblP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Член комиссии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Решение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Талалаева Елена Алексеевна (контрактный управляющий)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2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Харрасова Валентина Александровна (главный бухгалтер)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2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Степанова Софья Ивановна (специалист в сфере закупок)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2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Втулкина  Татьяна Нестеровна (начальник хозяйственного отдела)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2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Аракчеева Татьяна Павловна (кладовщик)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2 место</w:t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По результатам подведения итогов принято решение заключить договор с ОБЩЕСТВО С ОГРАНИЧЕННОЙ ОТВЕТСТВЕННОСТЬЮ "БАШКИРСКОЕ ДОБРОВОЛЬНОЕ ПОЖАРНОЕ ОБЩЕСТВО"</w:t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Договор заключается на условиях, предусмотренных документацией о проведении процедуры, по начальной цене договора, указанной в извещении о проведении процедуры, или по цене договора, согласованной с участником процедуры.</w:t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Протокол подведения итогов будет размещен на сайте Единой информационной системы в сфере закупок (ЕИС) по адресу в сети «Интернет»: http://zakupki.gov.ru и на сайте АО «Единая электронная торговая площадка» (АО «ЕЭТП») по адресу в сети «Интернет»: </w:t>
      </w:r>
      <w:hyperlink r:id="rId7" w:history="1">
        <w:r>
          <w:t xml:space="preserve">https://corp.roseltorg.ru</w:t>
        </w:r>
      </w:hyperlink>
      <w:r>
        <w:rPr/>
        <w:t xml:space="preserve"> в сроки, предусмотренные №223-ФЗ и действующим Положением о закупках.</w:t>
      </w:r>
      <w:r>
        <w:rPr/>
        <w:t xml:space="preserve"/>
      </w:r>
    </w:p>
    <w:p>
      <w:pPr/>
      <w:r>
        <w:rPr>
          <w:b w:val="1"/>
          <w:bCs w:val="1"/>
        </w:rPr>
        <w:t xml:space="preserve">Члены комиссии, присутствующие на заседании:</w:t>
      </w:r>
    </w:p>
    <w:tbl>
      <w:tblGrid>
        <w:gridCol w:w="3300" w:type="dxa"/>
        <w:gridCol w:w="3400" w:type="dxa"/>
        <w:gridCol w:w="3300" w:type="dxa"/>
      </w:tblGrid>
      <w:tblPr>
        <w:tblStyle w:val="style29131"/>
      </w:tblP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Должность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</w:pPr>
            <w:r>
              <w:rPr>
                <w:b w:val="0"/>
                <w:bCs w:val="0"/>
              </w:rPr>
              <w:t xml:space="preserve"/>
            </w:r>
          </w:p>
        </w:tc>
        <w:tc>
          <w:tcPr>
            <w:tcW w:w="3300" w:type="dxa"/>
            <w:vAlign w:val="bottom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ФИО</w:t>
            </w:r>
          </w:p>
        </w:tc>
      </w:t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Сотрудник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_______________</w:t>
            </w:r>
          </w:p>
        </w:tc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Талалаева Елена Алексеевна</w:t>
            </w:r>
          </w:p>
        </w:tc>
      </w:t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Сотрудник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_______________</w:t>
            </w:r>
          </w:p>
        </w:tc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Харрасова Валентина Александровна</w:t>
            </w:r>
          </w:p>
        </w:tc>
      </w:t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Сотрудник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_______________</w:t>
            </w:r>
          </w:p>
        </w:tc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Степанова Софья Ивановна</w:t>
            </w:r>
          </w:p>
        </w:tc>
      </w:t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Сотрудник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_______________</w:t>
            </w:r>
          </w:p>
        </w:tc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Аракчеева Татьяна Павловна</w:t>
            </w:r>
          </w:p>
        </w:tc>
      </w:t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Сотрудник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_______________</w:t>
            </w:r>
          </w:p>
        </w:tc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Втулкина Татьяна Нестеровна</w:t>
            </w:r>
          </w:p>
        </w:tc>
      </w:tr>
    </w:tbl>
    <w:sectPr>
      <w:footerReference w:type="default" r:id="rId8"/>
      <w:pgSz w:orient="portrait" w:w="11905.511811023622" w:h="16837.79527559055"/>
      <w:pgMar w:top="1440" w:right="566.9291338582676" w:bottom="1440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8503.937007874016" w:type="dxa"/>
      <w:gridCol w:w="1417.3228346456694" w:type="dxa"/>
    </w:tblGrid>
    <w:tblPr>
      <w:tblW w:w="0" w:type="auto"/>
      <w:tblLayout w:type="autofit"/>
      <w:bidiVisual w:val="0"/>
      <w:tblCellMar>
        <w:top w:w="0" w:type="dxa"/>
        <w:left w:w="0" w:type="dxa"/>
        <w:right w:w="0" w:type="dxa"/>
        <w:bottom w:w="0" w:type="dxa"/>
      </w:tblCellMar>
      <w:tblBorders>
        <w:top w:val="single" w:sz="2" w:color="555555"/>
      </w:tblBorders>
    </w:tblPr>
    <w:tr>
      <w:trPr/>
      <w:tc>
        <w:tcPr>
          <w:tcW w:w="8503.937007874016" w:type="dxa"/>
        </w:tcPr>
        <w:p>
          <w:pPr>
            <w:jc w:val="left"/>
          </w:pPr>
          <w:r>
            <w:rPr/>
            <w:t xml:space="preserve">Протокол подведения итогов процедуры №32515384910 от 28.11.2025г.</w:t>
          </w:r>
        </w:p>
      </w:tc>
      <w:tc>
        <w:tcPr>
          <w:tcW w:w="1417.3228346456694" w:type="dxa"/>
        </w:tcPr>
        <w:p>
          <w:pPr>
            <w:jc w:val="right"/>
          </w:pPr>
          <w:r>
            <w:t xml:space="preserve">стр. 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</w:tr>
  </w:tbl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nsid w:val="4BF18E6C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AD469E05"/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  <w:rPr>
        <w:rFonts w:ascii="" w:hAnsi="" w:cs=""/>
      </w:rPr>
    </w:lvl>
    <w:lvl w:ilvl="1">
      <w:start w:val="1"/>
      <w:numFmt w:val="decimal"/>
      <w:suff w:val="tab"/>
      <w:lvlText w:val="%1.%2."/>
      <w:lvlJc w:val="left"/>
      <w:pPr>
        <w:tabs>
          <w:tab w:val="num" w:pos="792"/>
        </w:tabs>
        <w:ind w:left="792" w:hanging="432"/>
      </w:pPr>
      <w:rPr>
        <w:rFonts w:ascii="" w:hAnsi="" w:cs=""/>
      </w:rPr>
    </w:lvl>
    <w:lvl w:ilvl="2">
      <w:start w:val="1"/>
      <w:numFmt w:val="decimal"/>
      <w:suff w:val="tab"/>
      <w:lvlText w:val="%1.%2.%3."/>
      <w:lvlJc w:val="left"/>
      <w:pPr>
        <w:tabs>
          <w:tab w:val="num" w:pos="1224"/>
        </w:tabs>
        <w:ind w:left="1224" w:hanging="504"/>
      </w:pPr>
      <w:rPr>
        <w:rFonts w:ascii="" w:hAnsi="" w:cs=""/>
      </w:rPr>
    </w:lvl>
    <w:lvl w:ilvl="3">
      <w:start w:val="1"/>
      <w:numFmt w:val="decimal"/>
      <w:suff w:val="tab"/>
      <w:lvlText w:val="%1.%2.%3.%4."/>
      <w:lvlJc w:val="left"/>
      <w:pPr>
        <w:tabs>
          <w:tab w:val="num" w:pos="1800"/>
        </w:tabs>
        <w:ind w:left="1728" w:hanging="648"/>
      </w:pPr>
      <w:rPr>
        <w:rFonts w:ascii="" w:hAnsi="" w:cs=""/>
      </w:rPr>
    </w:lvl>
    <w:lvl w:ilvl="4">
      <w:start w:val="1"/>
      <w:numFmt w:val="decimal"/>
      <w:suff w:val="tab"/>
      <w:lvlText w:val="%1.%2.%3.%4.%5."/>
      <w:lvlJc w:val="left"/>
      <w:pPr>
        <w:tabs>
          <w:tab w:val="num" w:pos="2520"/>
        </w:tabs>
        <w:ind w:left="2232" w:hanging="792"/>
      </w:pPr>
      <w:rPr>
        <w:rFonts w:ascii="" w:hAnsi="" w:cs=""/>
      </w:rPr>
    </w:lvl>
    <w:lvl w:ilvl="5">
      <w:start w:val="1"/>
      <w:numFmt w:val="decimal"/>
      <w:suff w:val="tab"/>
      <w:lvlText w:val="%1.%2.%3.%4.%5.%6."/>
      <w:lvlJc w:val="left"/>
      <w:pPr>
        <w:tabs>
          <w:tab w:val="num" w:pos="2880"/>
        </w:tabs>
        <w:ind w:left="2736" w:hanging="936"/>
      </w:pPr>
      <w:rPr>
        <w:rFonts w:ascii="" w:hAnsi="" w:cs=""/>
      </w:rPr>
    </w:lvl>
    <w:lvl w:ilvl="6">
      <w:start w:val="1"/>
      <w:numFmt w:val="decimal"/>
      <w:suff w:val="tab"/>
      <w:lvlText w:val="%1.%2.%3.%4.%5.%6.%7."/>
      <w:lvlJc w:val="left"/>
      <w:pPr>
        <w:tabs>
          <w:tab w:val="num" w:pos="3600"/>
        </w:tabs>
        <w:ind w:left="3240" w:hanging="1080"/>
      </w:pPr>
      <w:rPr>
        <w:rFonts w:ascii="" w:hAnsi="" w:cs=""/>
      </w:rPr>
    </w:lvl>
    <w:lvl w:ilvl="7">
      <w:start w:val="1"/>
      <w:numFmt w:val="decimal"/>
      <w:suff w:val="tab"/>
      <w:lvlText w:val="%1.%2.%3.%4.%5.%6.%7.%8."/>
      <w:lvlJc w:val="left"/>
      <w:pPr>
        <w:tabs>
          <w:tab w:val="num" w:pos="3960"/>
        </w:tabs>
        <w:ind w:left="3744" w:hanging="1224"/>
      </w:pPr>
      <w:rPr>
        <w:rFonts w:ascii="" w:hAnsi="" w:cs=""/>
      </w:rPr>
    </w:lvl>
    <w:lvl w:ilvl="8">
      <w:start w:val="1"/>
      <w:numFmt w:val="decimal"/>
      <w:suff w:val="tab"/>
      <w:lvlText w:val="%1.%2.%3.%4.%5.%6.%7.%8.%9."/>
      <w:lvlJc w:val="left"/>
      <w:pPr>
        <w:tabs>
          <w:tab w:val="num" w:pos="4680"/>
        </w:tabs>
        <w:ind w:left="4320" w:hanging="1440"/>
      </w:pPr>
      <w:rPr>
        <w:rFonts w:ascii="" w:hAnsi="" w:cs=""/>
      </w:rPr>
    </w:lvl>
  </w:abstractNum>
  <w:num w:numId="3">
    <w:abstractNumId w:val="3"/>
  </w:num>
  <w:num w:numId="4">
    <w:abstractNumId w:val="4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OwnStyle"/>
    <w:rPr>
      <w:b w:val="1"/>
      <w:bCs w:val="1"/>
    </w:rPr>
  </w:style>
  <w:style w:type="paragraph" w:customStyle="1" w:styleId="P-Style">
    <w:name w:val="P-Style"/>
    <w:basedOn w:val="Normal"/>
    <w:pPr>
      <w:keepLines w:val="1"/>
      <w:spacing w:after="96"/>
    </w:pPr>
  </w:style>
  <w:style w:type="table" w:customStyle="1" w:styleId="style60222">
    <w:name w:val="style60222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86534">
    <w:name w:val="style86534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3969">
    <w:name w:val="style3969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58834">
    <w:name w:val="style58834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8467">
    <w:name w:val="style8467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29131">
    <w:name w:val="style29131"/>
    <w:uiPriority w:val="99"/>
    <w:tblPr>
      <w:tblW w:w="0" w:type="auto"/>
      <w:tblLayout w:type="autofit"/>
      <w:bidiVisual w:val="0"/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corp.roseltorg.ru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2025-11-28T12:08:17+03:00</dcterms:created>
  <dcterms:modified xsi:type="dcterms:W3CDTF">2025-11-28T12:08:17+03:00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