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media/image1.png" ContentType="image/png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widowControl w:val="false"/>
        <w:ind w:firstLine="426" w:end="-6"/>
        <w:jc w:val="both"/>
        <w:rPr>
          <w:b/>
          <w:caps/>
          <w:sz w:val="22"/>
          <w:szCs w:val="22"/>
        </w:rPr>
      </w:pPr>
      <w:r>
        <w:rPr>
          <w:b/>
          <w:caps/>
          <w:sz w:val="22"/>
          <w:szCs w:val="22"/>
        </w:rPr>
      </w:r>
    </w:p>
    <w:p>
      <w:pPr>
        <w:pStyle w:val="BodyText"/>
        <w:widowControl w:val="false"/>
        <w:ind w:firstLine="426" w:end="-6"/>
        <w:jc w:val="both"/>
        <w:rPr>
          <w:b/>
          <w:caps/>
          <w:sz w:val="22"/>
          <w:szCs w:val="22"/>
        </w:rPr>
      </w:pPr>
      <w:r>
        <w:rPr>
          <w:b/>
          <w:caps/>
          <w:sz w:val="22"/>
          <w:szCs w:val="22"/>
        </w:rPr>
      </w:r>
    </w:p>
    <w:tbl>
      <w:tblPr>
        <w:tblW w:w="984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49"/>
        <w:gridCol w:w="4199"/>
      </w:tblGrid>
      <w:tr>
        <w:trPr>
          <w:trHeight w:val="1373" w:hRule="atLeast"/>
        </w:trPr>
        <w:tc>
          <w:tcPr>
            <w:tcW w:w="5649" w:type="dxa"/>
            <w:tcBorders/>
          </w:tcPr>
          <w:p>
            <w:pPr>
              <w:pStyle w:val="Normal"/>
              <w:spacing w:lineRule="auto" w:line="240" w:before="0" w:after="0"/>
              <w:ind w:hanging="0" w:end="0"/>
              <w:contextualSpacing/>
              <w:jc w:val="start"/>
              <w:rPr>
                <w:rFonts w:ascii="PF Din Text Cond Pro Light" w:hAnsi="PF Din Text Cond Pro Light" w:cs="PF Din Text Cond Pro Light"/>
                <w:sz w:val="20"/>
              </w:rPr>
            </w:pPr>
            <w:r>
              <w:rPr>
                <w:sz w:val="20"/>
                <w:lang w:val="en-US" w:eastAsia="en-US"/>
              </w:rPr>
              <w:drawing>
                <wp:inline distT="0" distB="0" distL="0" distR="0">
                  <wp:extent cx="2073910" cy="716280"/>
                  <wp:effectExtent l="0" t="0" r="0" b="0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17" t="-50" r="-17" b="-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3910" cy="7162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99" w:type="dxa"/>
            <w:tcBorders/>
          </w:tcPr>
          <w:p>
            <w:pPr>
              <w:pStyle w:val="Normal"/>
              <w:spacing w:lineRule="auto" w:line="240" w:before="0" w:after="0"/>
              <w:ind w:hanging="0" w:end="0"/>
              <w:contextualSpacing/>
              <w:jc w:val="start"/>
              <w:rPr>
                <w:rFonts w:ascii="PF Din Text Cond Pro Light" w:hAnsi="PF Din Text Cond Pro Light" w:cs="PF Din Text Cond Pro Light"/>
                <w:sz w:val="18"/>
                <w:szCs w:val="18"/>
              </w:rPr>
            </w:pPr>
            <w:r>
              <w:rPr>
                <w:rFonts w:cs="PF Din Text Cond Pro Light" w:ascii="PF Din Text Cond Pro Light" w:hAnsi="PF Din Text Cond Pro Light"/>
                <w:sz w:val="18"/>
                <w:szCs w:val="18"/>
              </w:rPr>
              <w:t>Публичное акционерное общество</w:t>
            </w:r>
          </w:p>
          <w:p>
            <w:pPr>
              <w:pStyle w:val="Normal"/>
              <w:spacing w:lineRule="auto" w:line="240" w:before="0" w:after="0"/>
              <w:ind w:hanging="0" w:end="0"/>
              <w:contextualSpacing/>
              <w:jc w:val="start"/>
              <w:rPr>
                <w:rFonts w:ascii="PF Din Text Cond Pro Light" w:hAnsi="PF Din Text Cond Pro Light" w:cs="PF Din Text Cond Pro Light"/>
                <w:sz w:val="18"/>
                <w:szCs w:val="18"/>
              </w:rPr>
            </w:pPr>
            <w:r>
              <w:rPr>
                <w:rFonts w:cs="PF Din Text Cond Pro Light" w:ascii="PF Din Text Cond Pro Light" w:hAnsi="PF Din Text Cond Pro Light"/>
                <w:sz w:val="18"/>
                <w:szCs w:val="18"/>
              </w:rPr>
              <w:t>«Россети Центр и Приволжье»</w:t>
            </w:r>
          </w:p>
          <w:p>
            <w:pPr>
              <w:pStyle w:val="Normal"/>
              <w:spacing w:lineRule="auto" w:line="240" w:before="0" w:after="0"/>
              <w:ind w:hanging="0" w:end="0"/>
              <w:contextualSpacing/>
              <w:jc w:val="start"/>
              <w:rPr>
                <w:rFonts w:ascii="PF Din Text Cond Pro Light" w:hAnsi="PF Din Text Cond Pro Light" w:cs="PF Din Text Cond Pro Light"/>
                <w:sz w:val="18"/>
                <w:szCs w:val="18"/>
              </w:rPr>
            </w:pPr>
            <w:r>
              <w:rPr>
                <w:rFonts w:cs="PF Din Text Cond Pro Light" w:ascii="PF Din Text Cond Pro Light" w:hAnsi="PF Din Text Cond Pro Light"/>
                <w:sz w:val="18"/>
                <w:szCs w:val="18"/>
              </w:rPr>
            </w:r>
          </w:p>
          <w:p>
            <w:pPr>
              <w:pStyle w:val="Normal"/>
              <w:spacing w:lineRule="auto" w:line="240" w:before="0" w:after="0"/>
              <w:ind w:hanging="0" w:start="-108" w:end="-108"/>
              <w:contextualSpacing/>
              <w:jc w:val="start"/>
              <w:rPr>
                <w:rFonts w:ascii="PF Din Text Cond Pro Light" w:hAnsi="PF Din Text Cond Pro Light" w:cs="PF Din Text Cond Pro Light"/>
                <w:sz w:val="18"/>
                <w:szCs w:val="18"/>
              </w:rPr>
            </w:pPr>
            <w:r>
              <w:rPr>
                <w:rFonts w:cs="PF Din Text Cond Pro Light" w:ascii="PF Din Text Cond Pro Light" w:hAnsi="PF Din Text Cond Pro Light"/>
                <w:sz w:val="18"/>
                <w:szCs w:val="18"/>
              </w:rPr>
              <w:t xml:space="preserve">  </w:t>
            </w:r>
            <w:r>
              <w:rPr>
                <w:rFonts w:cs="PF Din Text Cond Pro Light" w:ascii="PF Din Text Cond Pro Light" w:hAnsi="PF Din Text Cond Pro Light"/>
                <w:sz w:val="18"/>
                <w:szCs w:val="18"/>
              </w:rPr>
              <w:t>Филиал ПАО «Россети Центр и Приволжье» - «Удмуртэнерго»</w:t>
            </w:r>
          </w:p>
          <w:p>
            <w:pPr>
              <w:pStyle w:val="Normal"/>
              <w:spacing w:lineRule="auto" w:line="240" w:before="0" w:after="0"/>
              <w:ind w:hanging="0" w:end="747"/>
              <w:contextualSpacing/>
              <w:jc w:val="start"/>
              <w:rPr>
                <w:rFonts w:ascii="PF Din Text Cond Pro Light" w:hAnsi="PF Din Text Cond Pro Light" w:cs="PF Din Text Cond Pro Light"/>
                <w:sz w:val="20"/>
                <w:szCs w:val="18"/>
              </w:rPr>
            </w:pPr>
            <w:r>
              <w:rPr>
                <w:rFonts w:cs="PF Din Text Cond Pro Light" w:ascii="PF Din Text Cond Pro Light" w:hAnsi="PF Din Text Cond Pro Light"/>
                <w:sz w:val="20"/>
                <w:szCs w:val="18"/>
              </w:rPr>
            </w:r>
          </w:p>
        </w:tc>
      </w:tr>
    </w:tbl>
    <w:p>
      <w:pPr>
        <w:pStyle w:val="Normal"/>
        <w:spacing w:lineRule="auto" w:line="240" w:before="0" w:after="0"/>
        <w:ind w:hanging="0" w:end="0"/>
        <w:contextualSpacing/>
        <w:jc w:val="center"/>
        <w:rPr>
          <w:rFonts w:ascii="Calibri" w:hAnsi="Calibri" w:eastAsia="Cambria" w:cs="Helios-Regular;Times New Roman"/>
          <w:color w:val="000000"/>
          <w:sz w:val="24"/>
          <w:szCs w:val="24"/>
          <w:lang w:eastAsia="en-US"/>
        </w:rPr>
      </w:pPr>
      <w:r>
        <w:rPr>
          <w:rFonts w:eastAsia="Cambria" w:cs="Helios-Regular;Times New Roman" w:ascii="Calibri" w:hAnsi="Calibri"/>
          <w:color w:val="000000"/>
          <w:sz w:val="24"/>
          <w:szCs w:val="24"/>
          <w:lang w:eastAsia="en-US"/>
        </w:rPr>
      </w:r>
    </w:p>
    <w:p>
      <w:pPr>
        <w:pStyle w:val="Normal"/>
        <w:spacing w:lineRule="auto" w:line="240" w:before="0" w:after="0"/>
        <w:ind w:hanging="0" w:end="0"/>
        <w:contextualSpacing/>
        <w:jc w:val="center"/>
        <w:rPr>
          <w:rFonts w:ascii="PF Din Text Cond Pro" w:hAnsi="PF Din Text Cond Pro" w:eastAsia="Cambria" w:cs="Helios-Regular;Times New Roman"/>
          <w:color w:val="000000"/>
          <w:sz w:val="24"/>
          <w:szCs w:val="24"/>
          <w:lang w:eastAsia="en-US"/>
        </w:rPr>
      </w:pPr>
      <w:r>
        <w:rPr>
          <w:rFonts w:eastAsia="Cambria" w:cs="Helios-Regular;Times New Roman" w:ascii="PF Din Text Cond Pro" w:hAnsi="PF Din Text Cond Pro"/>
          <w:color w:val="000000"/>
          <w:sz w:val="24"/>
          <w:szCs w:val="24"/>
          <w:lang w:eastAsia="en-US"/>
        </w:rPr>
        <w:t>ПРОТОКОЛ</w:t>
      </w:r>
    </w:p>
    <w:p>
      <w:pPr>
        <w:pStyle w:val="Normal"/>
        <w:widowControl w:val="false"/>
        <w:autoSpaceDE w:val="false"/>
        <w:spacing w:lineRule="auto" w:line="240"/>
        <w:ind w:hanging="0" w:end="0"/>
        <w:jc w:val="center"/>
        <w:textAlignment w:val="center"/>
        <w:rPr>
          <w:rFonts w:ascii="PF Din Text Cond Pro" w:hAnsi="PF Din Text Cond Pro" w:eastAsia="Cambria" w:cs="Helios-Regular;Times New Roman"/>
          <w:color w:val="000000"/>
          <w:sz w:val="24"/>
          <w:szCs w:val="24"/>
          <w:lang w:eastAsia="en-US"/>
        </w:rPr>
      </w:pPr>
      <w:r>
        <w:rPr>
          <w:rFonts w:eastAsia="Cambria" w:cs="Helios-Regular;Times New Roman" w:ascii="PF Din Text Cond Pro" w:hAnsi="PF Din Text Cond Pro"/>
          <w:color w:val="000000"/>
          <w:sz w:val="24"/>
          <w:szCs w:val="24"/>
          <w:lang w:eastAsia="en-US"/>
        </w:rPr>
        <w:t>очного заседания Закупочной комиссии по рассмотрению общих частей заявок участников</w:t>
      </w:r>
    </w:p>
    <w:p>
      <w:pPr>
        <w:pStyle w:val="Normal"/>
        <w:widowControl w:val="false"/>
        <w:autoSpaceDE w:val="false"/>
        <w:spacing w:lineRule="auto" w:line="288"/>
        <w:ind w:hanging="0" w:end="0"/>
        <w:jc w:val="start"/>
        <w:textAlignment w:val="center"/>
        <w:rPr>
          <w:rFonts w:ascii="PF Din Text Cond Pro" w:hAnsi="PF Din Text Cond Pro" w:eastAsia="Cambria" w:cs="Helios-Regular;Times New Roman"/>
          <w:color w:val="000000"/>
          <w:sz w:val="24"/>
          <w:szCs w:val="24"/>
          <w:lang w:eastAsia="en-US"/>
        </w:rPr>
      </w:pPr>
      <w:r>
        <w:rPr>
          <w:rFonts w:eastAsia="Cambria" w:cs="Helios-Regular;Times New Roman" w:ascii="PF Din Text Cond Pro" w:hAnsi="PF Din Text Cond Pro"/>
          <w:color w:val="000000"/>
          <w:sz w:val="24"/>
          <w:szCs w:val="24"/>
          <w:lang w:eastAsia="en-US"/>
        </w:rPr>
      </w:r>
    </w:p>
    <w:tbl>
      <w:tblPr>
        <w:tblW w:w="1011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878"/>
        <w:gridCol w:w="4236"/>
      </w:tblGrid>
      <w:tr>
        <w:trPr>
          <w:trHeight w:val="705" w:hRule="atLeast"/>
        </w:trPr>
        <w:tc>
          <w:tcPr>
            <w:tcW w:w="5878" w:type="dxa"/>
            <w:tcBorders/>
          </w:tcPr>
          <w:p>
            <w:pPr>
              <w:pStyle w:val="Normal"/>
              <w:widowControl w:val="false"/>
              <w:autoSpaceDE w:val="false"/>
              <w:spacing w:lineRule="auto" w:line="288"/>
              <w:ind w:hanging="0" w:end="0"/>
              <w:jc w:val="start"/>
              <w:textAlignment w:val="center"/>
              <w:rPr>
                <w:rFonts w:ascii="PF Din Text Cond Pro" w:hAnsi="PF Din Text Cond Pro" w:eastAsia="Cambria" w:cs="PF Din Text Cond Pro"/>
                <w:sz w:val="24"/>
                <w:szCs w:val="24"/>
                <w:lang w:eastAsia="en-US"/>
              </w:rPr>
            </w:pPr>
            <w:r>
              <w:rPr>
                <w:rFonts w:eastAsia="Cambria" w:cs="PF Din Text Cond Pro" w:ascii="PF Din Text Cond Pro" w:hAnsi="PF Din Text Cond Pro"/>
                <w:sz w:val="24"/>
                <w:szCs w:val="24"/>
                <w:lang w:eastAsia="en-US"/>
              </w:rPr>
              <w:t>Дата проведения заседания: 03</w:t>
            </w:r>
            <w:r>
              <w:rPr>
                <w:rFonts w:eastAsia="Cambria" w:cs="PF Din Text Cond Pro" w:ascii="PF Din Text Cond Pro" w:hAnsi="PF Din Text Cond Pro"/>
                <w:color w:val="000000"/>
                <w:sz w:val="24"/>
                <w:szCs w:val="24"/>
                <w:lang w:eastAsia="en-US"/>
              </w:rPr>
              <w:t>.03.2025</w:t>
            </w:r>
          </w:p>
          <w:p>
            <w:pPr>
              <w:pStyle w:val="Normal"/>
              <w:widowControl w:val="false"/>
              <w:autoSpaceDE w:val="false"/>
              <w:spacing w:lineRule="auto" w:line="240"/>
              <w:ind w:hanging="0" w:end="0"/>
              <w:jc w:val="start"/>
              <w:textAlignment w:val="center"/>
              <w:rPr>
                <w:rFonts w:ascii="PF Din Text Cond Pro" w:hAnsi="PF Din Text Cond Pro" w:eastAsia="Cambria" w:cs="PF Din Text Cond Pro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="Cambria" w:cs="PF Din Text Cond Pro" w:ascii="PF Din Text Cond Pro" w:hAnsi="PF Din Text Cond Pro"/>
                <w:color w:val="000000"/>
                <w:sz w:val="24"/>
                <w:szCs w:val="24"/>
                <w:lang w:eastAsia="en-US"/>
              </w:rPr>
              <w:t>Дата подписания протокола: 03.03.2025</w:t>
            </w:r>
          </w:p>
        </w:tc>
        <w:tc>
          <w:tcPr>
            <w:tcW w:w="4236" w:type="dxa"/>
            <w:tcBorders/>
            <w:vAlign w:val="bottom"/>
          </w:tcPr>
          <w:p>
            <w:pPr>
              <w:pStyle w:val="Normal"/>
              <w:widowControl w:val="false"/>
              <w:autoSpaceDE w:val="false"/>
              <w:spacing w:lineRule="auto" w:line="240"/>
              <w:ind w:hanging="0" w:end="0"/>
              <w:jc w:val="end"/>
              <w:textAlignment w:val="center"/>
              <w:rPr>
                <w:rFonts w:ascii="PF Din Text Cond Pro" w:hAnsi="PF Din Text Cond Pro" w:eastAsia="Cambria" w:cs="PF Din Text Cond Pro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="Cambria" w:cs="PF Din Text Cond Pro" w:ascii="PF Din Text Cond Pro" w:hAnsi="PF Din Text Cond Pro"/>
                <w:color w:val="000000"/>
                <w:sz w:val="24"/>
                <w:szCs w:val="24"/>
                <w:lang w:eastAsia="en-US"/>
              </w:rPr>
              <w:t xml:space="preserve">       №</w:t>
            </w:r>
            <w:r>
              <w:rPr>
                <w:rFonts w:eastAsia="Cambria" w:cs="MinionPro-Regular;Times New Roman" w:ascii="PF Din Text Cond Pro" w:hAnsi="PF Din Text Cond Pro"/>
                <w:color w:val="000000"/>
                <w:sz w:val="24"/>
                <w:szCs w:val="24"/>
                <w:lang w:eastAsia="en-US"/>
              </w:rPr>
              <w:t>0047-УД-25-1</w:t>
            </w:r>
          </w:p>
        </w:tc>
      </w:tr>
    </w:tbl>
    <w:p>
      <w:pPr>
        <w:pStyle w:val="Normal"/>
        <w:widowControl w:val="false"/>
        <w:autoSpaceDE w:val="false"/>
        <w:spacing w:lineRule="auto" w:line="288"/>
        <w:ind w:hanging="0" w:end="0"/>
        <w:jc w:val="center"/>
        <w:textAlignment w:val="center"/>
        <w:rPr>
          <w:rFonts w:ascii="PF Din Text Cond Pro" w:hAnsi="PF Din Text Cond Pro" w:eastAsia="Cambria" w:cs="PF Din Text Cond Pro"/>
          <w:sz w:val="24"/>
          <w:szCs w:val="24"/>
          <w:lang w:eastAsia="en-US"/>
        </w:rPr>
      </w:pPr>
      <w:r>
        <w:rPr>
          <w:rFonts w:eastAsia="Cambria" w:cs="PF Din Text Cond Pro" w:ascii="PF Din Text Cond Pro" w:hAnsi="PF Din Text Cond Pro"/>
          <w:sz w:val="24"/>
          <w:szCs w:val="24"/>
          <w:lang w:eastAsia="en-US"/>
        </w:rPr>
      </w:r>
    </w:p>
    <w:p>
      <w:pPr>
        <w:pStyle w:val="Normal"/>
        <w:widowControl w:val="false"/>
        <w:autoSpaceDE w:val="false"/>
        <w:spacing w:lineRule="auto" w:line="288"/>
        <w:ind w:hanging="0" w:end="0"/>
        <w:jc w:val="center"/>
        <w:textAlignment w:val="center"/>
        <w:rPr>
          <w:rFonts w:ascii="PF Din Text Cond Pro" w:hAnsi="PF Din Text Cond Pro" w:eastAsia="Cambria" w:cs="PF Din Text Cond Pro"/>
          <w:sz w:val="24"/>
          <w:szCs w:val="24"/>
          <w:lang w:eastAsia="en-US"/>
        </w:rPr>
      </w:pPr>
      <w:r>
        <w:rPr>
          <w:rFonts w:eastAsia="Cambria" w:cs="PF Din Text Cond Pro" w:ascii="PF Din Text Cond Pro" w:hAnsi="PF Din Text Cond Pro"/>
          <w:sz w:val="24"/>
          <w:szCs w:val="24"/>
          <w:lang w:eastAsia="en-US"/>
        </w:rPr>
        <w:t xml:space="preserve">г. Ижевск </w:t>
      </w:r>
    </w:p>
    <w:p>
      <w:pPr>
        <w:pStyle w:val="BodyText"/>
        <w:widowControl w:val="false"/>
        <w:ind w:firstLine="426" w:end="-6"/>
        <w:jc w:val="both"/>
        <w:rPr>
          <w:rFonts w:ascii="PF Din Text Cond Pro" w:hAnsi="PF Din Text Cond Pro" w:eastAsia="Cambria" w:cs="PF Din Text Cond Pro"/>
          <w:b/>
          <w:caps/>
          <w:sz w:val="22"/>
          <w:szCs w:val="22"/>
          <w:lang w:eastAsia="en-US"/>
        </w:rPr>
      </w:pPr>
      <w:r>
        <w:rPr>
          <w:rFonts w:eastAsia="Cambria" w:cs="PF Din Text Cond Pro" w:ascii="PF Din Text Cond Pro" w:hAnsi="PF Din Text Cond Pro"/>
          <w:b/>
          <w:caps/>
          <w:sz w:val="22"/>
          <w:szCs w:val="22"/>
          <w:lang w:eastAsia="en-US"/>
        </w:rPr>
      </w:r>
    </w:p>
    <w:p>
      <w:pPr>
        <w:pStyle w:val="BodyText"/>
        <w:widowControl w:val="false"/>
        <w:ind w:firstLine="426" w:end="-6"/>
        <w:jc w:val="both"/>
        <w:rPr>
          <w:color w:val="000000"/>
          <w:sz w:val="23"/>
          <w:szCs w:val="23"/>
          <w:shd w:fill="FFFFFF" w:val="clear"/>
        </w:rPr>
      </w:pPr>
      <w:r>
        <w:rPr>
          <w:b/>
          <w:caps/>
          <w:sz w:val="23"/>
          <w:szCs w:val="23"/>
        </w:rPr>
        <w:t>способ и</w:t>
      </w:r>
      <w:r>
        <w:rPr>
          <w:sz w:val="23"/>
          <w:szCs w:val="23"/>
        </w:rPr>
        <w:t xml:space="preserve"> </w:t>
      </w:r>
      <w:r>
        <w:rPr>
          <w:b/>
          <w:caps/>
          <w:sz w:val="23"/>
          <w:szCs w:val="23"/>
        </w:rPr>
        <w:t>ПРЕДМЕТ закупки:</w:t>
      </w:r>
      <w:r>
        <w:rPr>
          <w:sz w:val="23"/>
          <w:szCs w:val="23"/>
        </w:rPr>
        <w:t xml:space="preserve"> </w:t>
      </w:r>
      <w:r>
        <w:rPr>
          <w:color w:val="000000"/>
          <w:sz w:val="23"/>
          <w:szCs w:val="23"/>
          <w:shd w:fill="FFFFFF" w:val="clear"/>
        </w:rPr>
        <w:t>запрос цен по результатам конкурентного предварительного отбора на право заключения соглашений о проведении в дальнейшем конкурентных закупок на право заключения Договоров на выполнение строительно-монтажных и пуско-наладочных работ по объектам распределительных сетей 0,4-10 кВ, РУ 6-10 кВ на ПС (новое строительство, техперевооружение, реконструкция, выносы, ремонты), а также работ «под ключ» (работ, включающих проектирование и поставку) по объектам технологического присоединения (далее – запрос цен, закупка) на право заключения договора на выполнение работ на объекте: «ПИР СМР Строительство ВЛЗ-6 кВ от опоры № 5 ВЛ-6 кВ ТП-213-...-ТП-1570 до проектируемой CТП-6/0,4 кВ-№1708. Монтаж CТП-6/0,4 кВ - №1708, строительство ВЛИ-0,4 кВ в УР, г. Ижевск, ул. Азина, 243, кад. № 18:26:041401:26 (Г)</w:t>
      </w:r>
      <w:r>
        <w:rPr>
          <w:sz w:val="23"/>
          <w:szCs w:val="23"/>
        </w:rPr>
        <w:t>»</w:t>
      </w:r>
      <w:r>
        <w:rPr>
          <w:color w:val="000000"/>
          <w:sz w:val="23"/>
          <w:szCs w:val="23"/>
          <w:shd w:fill="FFFFFF" w:val="clear"/>
        </w:rPr>
        <w:t xml:space="preserve"> для нужд филиала ПАО «Россети Центр и Приволжье» - «Удмуртэнерго».</w:t>
      </w:r>
    </w:p>
    <w:p>
      <w:pPr>
        <w:pStyle w:val="BodyText"/>
        <w:widowControl w:val="false"/>
        <w:ind w:firstLine="426" w:end="-6"/>
        <w:jc w:val="both"/>
        <w:rPr>
          <w:color w:val="000000"/>
          <w:sz w:val="23"/>
          <w:szCs w:val="23"/>
          <w:shd w:fill="FFFFFF" w:val="clear"/>
        </w:rPr>
      </w:pPr>
      <w:r>
        <w:rPr>
          <w:color w:val="000000"/>
          <w:sz w:val="23"/>
          <w:szCs w:val="23"/>
          <w:shd w:fill="FFFFFF" w:val="clear"/>
        </w:rPr>
      </w:r>
    </w:p>
    <w:p>
      <w:pPr>
        <w:pStyle w:val="Normal"/>
        <w:widowControl w:val="false"/>
        <w:tabs>
          <w:tab w:val="clear" w:pos="567"/>
          <w:tab w:val="left" w:pos="284" w:leader="none"/>
          <w:tab w:val="left" w:pos="426" w:leader="none"/>
        </w:tabs>
        <w:autoSpaceDE w:val="false"/>
        <w:spacing w:lineRule="auto" w:line="240"/>
        <w:ind w:hanging="0" w:end="0"/>
        <w:rPr/>
      </w:pPr>
      <w:r>
        <w:rPr>
          <w:sz w:val="23"/>
          <w:szCs w:val="23"/>
        </w:rPr>
        <w:tab/>
        <w:t>Запрос цен проводится на основании Приказа директора филиала ПАО «Россети Центр и Приволжье» - «Удмуртэнерго» от 29.01.2025 № УдЭ – 67.</w:t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pacing w:lineRule="auto" w:line="240"/>
        <w:ind w:hanging="0" w:end="0"/>
        <w:rPr>
          <w:b/>
          <w:sz w:val="23"/>
          <w:szCs w:val="23"/>
        </w:rPr>
      </w:pPr>
      <w:r>
        <w:rPr>
          <w:b/>
          <w:sz w:val="23"/>
          <w:szCs w:val="23"/>
        </w:rPr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pacing w:lineRule="auto" w:line="240"/>
        <w:ind w:hanging="0" w:end="0"/>
        <w:rPr/>
      </w:pPr>
      <w:r>
        <w:rPr>
          <w:b/>
          <w:sz w:val="23"/>
          <w:szCs w:val="23"/>
        </w:rPr>
        <w:tab/>
        <w:t xml:space="preserve">Заказчик и Организатор закупки (далее – Организатор): </w:t>
      </w:r>
      <w:r>
        <w:rPr>
          <w:sz w:val="23"/>
          <w:szCs w:val="23"/>
        </w:rPr>
        <w:t xml:space="preserve">филиал ПАО «Россети Центр и Приволжье» - «Удмуртэнерго», расположенный по адресу: РФ, </w:t>
      </w:r>
      <w:r>
        <w:rPr>
          <w:bCs/>
          <w:sz w:val="23"/>
          <w:szCs w:val="23"/>
        </w:rPr>
        <w:t>426004, г. Ижевск, ул. Советская, 30</w:t>
      </w:r>
      <w:r>
        <w:rPr>
          <w:sz w:val="23"/>
          <w:szCs w:val="23"/>
        </w:rPr>
        <w:t>.</w:t>
      </w:r>
    </w:p>
    <w:p>
      <w:pPr>
        <w:pStyle w:val="BodyText"/>
        <w:widowControl w:val="false"/>
        <w:ind w:firstLine="426" w:end="-6"/>
        <w:jc w:val="both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Style23"/>
        <w:widowControl w:val="false"/>
        <w:tabs>
          <w:tab w:val="clear" w:pos="567"/>
          <w:tab w:val="left" w:pos="426" w:leader="none"/>
        </w:tabs>
        <w:spacing w:lineRule="auto" w:line="240" w:before="0" w:after="0"/>
        <w:ind w:firstLine="426" w:end="-6"/>
        <w:rPr>
          <w:sz w:val="23"/>
          <w:szCs w:val="23"/>
        </w:rPr>
      </w:pPr>
      <w:r>
        <w:rPr>
          <w:sz w:val="23"/>
          <w:szCs w:val="23"/>
        </w:rPr>
        <w:t xml:space="preserve">Извещение о проведении запроса цен было разработано Организатором, утверждено протоколом заседания Закупочной комиссии от 18.02.2025 №0047-УД-25, опубликовано 18.02.2025 на официальном сайте Единой информационной системы в сфере закупок </w:t>
      </w:r>
      <w:hyperlink r:id="rId3">
        <w:r>
          <w:rPr>
            <w:rStyle w:val="Hyperlink"/>
            <w:sz w:val="23"/>
            <w:szCs w:val="23"/>
          </w:rPr>
          <w:t>www.zakupki.gov.ru</w:t>
        </w:r>
      </w:hyperlink>
      <w:r>
        <w:rPr>
          <w:sz w:val="23"/>
          <w:szCs w:val="23"/>
        </w:rPr>
        <w:t xml:space="preserve">, на сайте Электронной торговой площадки Российского аукционного дома (РАД) </w:t>
      </w:r>
      <w:hyperlink r:id="rId4">
        <w:r>
          <w:rPr>
            <w:rStyle w:val="Hyperlink"/>
            <w:sz w:val="23"/>
            <w:szCs w:val="23"/>
            <w:lang w:val="en-US"/>
          </w:rPr>
          <w:t>www</w:t>
        </w:r>
        <w:r>
          <w:rPr>
            <w:rStyle w:val="Hyperlink"/>
            <w:sz w:val="23"/>
            <w:szCs w:val="23"/>
          </w:rPr>
          <w:t>.tender.lot-online.ru</w:t>
        </w:r>
      </w:hyperlink>
      <w:r>
        <w:rPr>
          <w:sz w:val="23"/>
          <w:szCs w:val="23"/>
        </w:rPr>
        <w:t xml:space="preserve"> (далее ЭТП)</w:t>
      </w:r>
      <w:r>
        <w:rPr>
          <w:rStyle w:val="Hyperlink"/>
          <w:color w:val="000000"/>
          <w:sz w:val="23"/>
          <w:szCs w:val="23"/>
          <w:u w:val="none"/>
        </w:rPr>
        <w:t xml:space="preserve">: </w:t>
      </w:r>
      <w:r>
        <w:rPr>
          <w:sz w:val="23"/>
          <w:szCs w:val="23"/>
        </w:rPr>
        <w:t>№</w:t>
      </w:r>
      <w:r>
        <w:rPr>
          <w:color w:val="000000"/>
          <w:sz w:val="23"/>
          <w:szCs w:val="23"/>
          <w:shd w:fill="FFFFFF" w:val="clear"/>
        </w:rPr>
        <w:t>32514525440</w:t>
      </w:r>
      <w:r>
        <w:rPr>
          <w:sz w:val="23"/>
          <w:szCs w:val="23"/>
        </w:rPr>
        <w:t>.</w:t>
      </w:r>
    </w:p>
    <w:p>
      <w:pPr>
        <w:pStyle w:val="Style21"/>
        <w:tabs>
          <w:tab w:val="clear" w:pos="1134"/>
        </w:tabs>
        <w:spacing w:lineRule="auto" w:line="240"/>
        <w:ind w:firstLine="426" w:start="0" w:end="-6"/>
        <w:rPr>
          <w:sz w:val="23"/>
          <w:szCs w:val="23"/>
        </w:rPr>
      </w:pPr>
      <w:r>
        <w:rPr>
          <w:sz w:val="23"/>
          <w:szCs w:val="23"/>
        </w:rPr>
      </w:r>
      <w:bookmarkStart w:id="0" w:name="_Ref277337881"/>
      <w:bookmarkStart w:id="1" w:name="_Ref57670139"/>
      <w:bookmarkStart w:id="2" w:name="_Ref277337881"/>
      <w:bookmarkStart w:id="3" w:name="_Ref57670139"/>
      <w:bookmarkEnd w:id="2"/>
      <w:bookmarkEnd w:id="3"/>
    </w:p>
    <w:p>
      <w:pPr>
        <w:pStyle w:val="Style21"/>
        <w:tabs>
          <w:tab w:val="clear" w:pos="1134"/>
        </w:tabs>
        <w:spacing w:lineRule="auto" w:line="240"/>
        <w:ind w:firstLine="426" w:start="0" w:end="-6"/>
        <w:rPr>
          <w:sz w:val="23"/>
          <w:szCs w:val="23"/>
        </w:rPr>
      </w:pPr>
      <w:bookmarkStart w:id="4" w:name="_Ref277337881"/>
      <w:bookmarkStart w:id="5" w:name="_Ref57670139"/>
      <w:bookmarkEnd w:id="4"/>
      <w:bookmarkEnd w:id="5"/>
      <w:r>
        <w:rPr>
          <w:sz w:val="23"/>
          <w:szCs w:val="23"/>
        </w:rPr>
        <w:t>В соответствии с Извещением о проведении запроса цен:</w:t>
      </w:r>
    </w:p>
    <w:p>
      <w:pPr>
        <w:pStyle w:val="Style21"/>
        <w:tabs>
          <w:tab w:val="clear" w:pos="1134"/>
        </w:tabs>
        <w:spacing w:lineRule="auto" w:line="240"/>
        <w:ind w:firstLine="426" w:start="0" w:end="-6"/>
        <w:rPr>
          <w:rStyle w:val="Strong"/>
          <w:sz w:val="23"/>
          <w:szCs w:val="23"/>
        </w:rPr>
      </w:pPr>
      <w:r>
        <w:rPr>
          <w:sz w:val="23"/>
          <w:szCs w:val="23"/>
        </w:rPr>
        <w:t>- начальная (максимальная) цена Договора составляет:</w:t>
      </w:r>
      <w:r>
        <w:rPr>
          <w:rStyle w:val="Strong"/>
          <w:sz w:val="23"/>
          <w:szCs w:val="23"/>
        </w:rPr>
        <w:t xml:space="preserve"> </w:t>
      </w:r>
    </w:p>
    <w:p>
      <w:pPr>
        <w:pStyle w:val="Style21"/>
        <w:tabs>
          <w:tab w:val="clear" w:pos="1134"/>
        </w:tabs>
        <w:spacing w:lineRule="auto" w:line="240"/>
        <w:ind w:firstLine="426" w:start="0" w:end="-6"/>
        <w:rPr>
          <w:b/>
          <w:bCs/>
          <w:sz w:val="23"/>
          <w:szCs w:val="23"/>
        </w:rPr>
      </w:pPr>
      <w:r>
        <w:rPr>
          <w:rStyle w:val="Strong"/>
          <w:sz w:val="23"/>
          <w:szCs w:val="23"/>
        </w:rPr>
        <w:t>2 278 459,20</w:t>
      </w:r>
      <w:r>
        <w:rPr>
          <w:sz w:val="23"/>
          <w:szCs w:val="23"/>
        </w:rPr>
        <w:t xml:space="preserve"> руб. с учетом НДС;</w:t>
      </w:r>
    </w:p>
    <w:p>
      <w:pPr>
        <w:pStyle w:val="Style21"/>
        <w:tabs>
          <w:tab w:val="clear" w:pos="1134"/>
        </w:tabs>
        <w:spacing w:lineRule="auto" w:line="240"/>
        <w:ind w:firstLine="426" w:start="0" w:end="-6"/>
        <w:rPr>
          <w:b/>
          <w:bCs/>
          <w:sz w:val="23"/>
          <w:szCs w:val="23"/>
        </w:rPr>
      </w:pPr>
      <w:r>
        <w:rPr>
          <w:rStyle w:val="Strong"/>
          <w:sz w:val="23"/>
          <w:szCs w:val="23"/>
        </w:rPr>
        <w:t>379 743,20</w:t>
      </w:r>
      <w:r>
        <w:rPr>
          <w:sz w:val="23"/>
          <w:szCs w:val="23"/>
        </w:rPr>
        <w:t xml:space="preserve"> руб. НДС 20%.  </w:t>
      </w:r>
    </w:p>
    <w:p>
      <w:pPr>
        <w:pStyle w:val="Style21"/>
        <w:tabs>
          <w:tab w:val="clear" w:pos="1134"/>
        </w:tabs>
        <w:spacing w:lineRule="auto" w:line="240"/>
        <w:ind w:firstLine="426" w:start="0" w:end="-6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</w:r>
    </w:p>
    <w:p>
      <w:pPr>
        <w:pStyle w:val="Style23"/>
        <w:widowControl w:val="false"/>
        <w:tabs>
          <w:tab w:val="clear" w:pos="567"/>
          <w:tab w:val="left" w:pos="426" w:leader="none"/>
        </w:tabs>
        <w:spacing w:lineRule="auto" w:line="240" w:before="0" w:after="0"/>
        <w:ind w:firstLine="426" w:end="-6"/>
        <w:rPr>
          <w:sz w:val="23"/>
          <w:szCs w:val="23"/>
        </w:rPr>
      </w:pPr>
      <w:r>
        <w:rPr>
          <w:sz w:val="23"/>
          <w:szCs w:val="23"/>
        </w:rPr>
        <w:t>-</w:t>
      </w:r>
      <w:r>
        <w:rPr>
          <w:sz w:val="23"/>
          <w:szCs w:val="23"/>
          <w:lang w:val="en-US"/>
        </w:rPr>
        <w:t xml:space="preserve"> </w:t>
      </w:r>
      <w:r>
        <w:rPr>
          <w:sz w:val="23"/>
          <w:szCs w:val="23"/>
        </w:rPr>
        <w:t>сроки выполнения работ: начало – с даты подписания договора, окончание - не позднее 30.06.2025;</w:t>
      </w:r>
    </w:p>
    <w:p>
      <w:pPr>
        <w:pStyle w:val="Style23"/>
        <w:widowControl w:val="false"/>
        <w:tabs>
          <w:tab w:val="clear" w:pos="567"/>
          <w:tab w:val="left" w:pos="426" w:leader="none"/>
        </w:tabs>
        <w:spacing w:lineRule="auto" w:line="240" w:before="0" w:after="0"/>
        <w:ind w:firstLine="426" w:end="-6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Style23"/>
        <w:widowControl w:val="false"/>
        <w:tabs>
          <w:tab w:val="clear" w:pos="567"/>
          <w:tab w:val="left" w:pos="426" w:leader="none"/>
        </w:tabs>
        <w:spacing w:lineRule="auto" w:line="240" w:before="0" w:after="0"/>
        <w:ind w:firstLine="426" w:end="-6"/>
        <w:rPr/>
      </w:pPr>
      <w:r>
        <w:rPr>
          <w:sz w:val="23"/>
          <w:szCs w:val="23"/>
        </w:rPr>
        <w:t>- объем закупаемых работ: согласно требований, изложенных в Техническом задании (Приложение № 1 к Извещению о проведении запроса цен).</w:t>
      </w:r>
    </w:p>
    <w:p>
      <w:pPr>
        <w:pStyle w:val="Style23"/>
        <w:widowControl w:val="false"/>
        <w:tabs>
          <w:tab w:val="clear" w:pos="567"/>
          <w:tab w:val="left" w:pos="426" w:leader="none"/>
        </w:tabs>
        <w:spacing w:lineRule="auto" w:line="240" w:before="0" w:after="0"/>
        <w:ind w:firstLine="426" w:end="-6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-6"/>
        <w:outlineLvl w:val="1"/>
        <w:rPr>
          <w:b/>
          <w:sz w:val="23"/>
          <w:szCs w:val="23"/>
        </w:rPr>
      </w:pPr>
      <w:r>
        <w:rPr>
          <w:b/>
          <w:sz w:val="23"/>
          <w:szCs w:val="23"/>
        </w:rPr>
        <w:t>СОСТАВ ЗАКУПОЧНОЙ КОМИССИИ:</w:t>
      </w:r>
    </w:p>
    <w:p>
      <w:pPr>
        <w:pStyle w:val="Normal"/>
        <w:widowControl w:val="false"/>
        <w:spacing w:lineRule="auto" w:line="240"/>
        <w:ind w:firstLine="426" w:end="0"/>
        <w:rPr>
          <w:sz w:val="23"/>
          <w:szCs w:val="23"/>
        </w:rPr>
      </w:pPr>
      <w:r>
        <w:rPr>
          <w:sz w:val="23"/>
          <w:szCs w:val="23"/>
          <w:lang w:val="en-US"/>
        </w:rPr>
        <w:t xml:space="preserve">Состав </w:t>
      </w:r>
      <w:r>
        <w:rPr>
          <w:sz w:val="23"/>
          <w:szCs w:val="23"/>
        </w:rPr>
        <w:t xml:space="preserve">Закупочной </w:t>
      </w:r>
      <w:r>
        <w:rPr>
          <w:sz w:val="23"/>
          <w:szCs w:val="23"/>
          <w:lang w:val="en-US"/>
        </w:rPr>
        <w:t>комиссии утвержден</w:t>
      </w:r>
      <w:r>
        <w:rPr>
          <w:sz w:val="23"/>
          <w:szCs w:val="23"/>
        </w:rPr>
        <w:t xml:space="preserve"> приказом директора филиала ПАО «Россети Центр и Приволжье» - «Удмуртэнерго» от 29.01.2025 №УдЭ – 67 и Приказом директора филиала  от 03.02.2025 № УдЭ-79 (внесены изменения в состав Закупочной комиссии).</w:t>
      </w:r>
    </w:p>
    <w:p>
      <w:pPr>
        <w:pStyle w:val="Normal"/>
        <w:widowControl w:val="false"/>
        <w:spacing w:lineRule="auto" w:line="240"/>
        <w:ind w:firstLine="426" w:end="0"/>
        <w:rPr>
          <w:sz w:val="22"/>
          <w:szCs w:val="22"/>
        </w:rPr>
      </w:pPr>
      <w:r>
        <w:rPr>
          <w:sz w:val="22"/>
          <w:szCs w:val="22"/>
        </w:rPr>
      </w:r>
    </w:p>
    <w:tbl>
      <w:tblPr>
        <w:tblW w:w="9923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43"/>
        <w:gridCol w:w="5387"/>
        <w:gridCol w:w="2693"/>
      </w:tblGrid>
      <w:tr>
        <w:trPr>
          <w:trHeight w:val="70" w:hRule="atLeast"/>
        </w:trPr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ФИО</w:t>
            </w:r>
          </w:p>
        </w:tc>
        <w:tc>
          <w:tcPr>
            <w:tcW w:w="5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Должность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Статус в составе комиссии</w:t>
            </w:r>
          </w:p>
        </w:tc>
      </w:tr>
      <w:tr>
        <w:trPr>
          <w:trHeight w:val="70" w:hRule="atLeast"/>
        </w:trPr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Малышев А.А.</w:t>
            </w:r>
          </w:p>
        </w:tc>
        <w:tc>
          <w:tcPr>
            <w:tcW w:w="5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Директор </w:t>
            </w:r>
            <w:r>
              <w:rPr>
                <w:bCs/>
                <w:sz w:val="21"/>
                <w:szCs w:val="21"/>
              </w:rPr>
              <w:t>филиала ПАО «Россети Центр и Приволжье» - «Удмуртэнерго»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Председатель Закупочной комиссии</w:t>
            </w:r>
          </w:p>
        </w:tc>
      </w:tr>
      <w:tr>
        <w:trPr>
          <w:trHeight w:val="70" w:hRule="atLeast"/>
        </w:trPr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Петрова Н.А.</w:t>
            </w:r>
          </w:p>
        </w:tc>
        <w:tc>
          <w:tcPr>
            <w:tcW w:w="5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Начальник отдела закупочной деятельности </w:t>
            </w:r>
            <w:r>
              <w:rPr>
                <w:bCs/>
                <w:sz w:val="21"/>
                <w:szCs w:val="21"/>
              </w:rPr>
              <w:t>филиала ПАО «Россети Центр и Приволжье» - «Удмуртэнерго»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Заместитель председателя </w:t>
            </w:r>
          </w:p>
          <w:p>
            <w:pPr>
              <w:pStyle w:val="Normal"/>
              <w:spacing w:lineRule="auto" w:line="240"/>
              <w:ind w:hanging="0" w:end="0"/>
              <w:jc w:val="star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Закупочной комиссии</w:t>
            </w:r>
          </w:p>
        </w:tc>
      </w:tr>
      <w:tr>
        <w:trPr>
          <w:trHeight w:val="337" w:hRule="atLeast"/>
        </w:trPr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Григорьев К.В.</w:t>
            </w:r>
          </w:p>
        </w:tc>
        <w:tc>
          <w:tcPr>
            <w:tcW w:w="5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И.о. первого заместителя директора – Главного инженера </w:t>
            </w:r>
            <w:r>
              <w:rPr>
                <w:bCs/>
                <w:sz w:val="21"/>
                <w:szCs w:val="21"/>
              </w:rPr>
              <w:t>филиала ПАО «Россети Центр и Приволжье» - «Удмуртэнерго»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Член Закупочной комиссии</w:t>
            </w:r>
          </w:p>
        </w:tc>
      </w:tr>
      <w:tr>
        <w:trPr>
          <w:trHeight w:val="337" w:hRule="atLeast"/>
        </w:trPr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Пушин А.М. </w:t>
            </w:r>
          </w:p>
        </w:tc>
        <w:tc>
          <w:tcPr>
            <w:tcW w:w="5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Заместитель директора по безопасности </w:t>
            </w:r>
            <w:r>
              <w:rPr>
                <w:bCs/>
                <w:sz w:val="21"/>
                <w:szCs w:val="21"/>
              </w:rPr>
              <w:t>филиала ПАО «Россети Центр и Приволжье» - «Удмуртэнерго»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Член Закупочной комиссии</w:t>
            </w:r>
          </w:p>
        </w:tc>
      </w:tr>
      <w:tr>
        <w:trPr>
          <w:trHeight w:val="337" w:hRule="atLeast"/>
        </w:trPr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Мозоль Д.В.</w:t>
            </w:r>
          </w:p>
        </w:tc>
        <w:tc>
          <w:tcPr>
            <w:tcW w:w="5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Заместитель директора по экономике и финансам </w:t>
            </w:r>
            <w:r>
              <w:rPr>
                <w:bCs/>
                <w:sz w:val="21"/>
                <w:szCs w:val="21"/>
              </w:rPr>
              <w:t>филиала ПАО «Россети Центр и Приволжье» - «Удмуртэнерго»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Член Закупочной комиссии</w:t>
            </w:r>
          </w:p>
        </w:tc>
      </w:tr>
      <w:tr>
        <w:trPr>
          <w:trHeight w:val="337" w:hRule="atLeast"/>
        </w:trPr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Лушников И.П.</w:t>
            </w:r>
          </w:p>
        </w:tc>
        <w:tc>
          <w:tcPr>
            <w:tcW w:w="5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Заместитель директора по инвестиционной деятельности </w:t>
            </w:r>
            <w:r>
              <w:rPr>
                <w:bCs/>
                <w:sz w:val="21"/>
                <w:szCs w:val="21"/>
              </w:rPr>
              <w:t>филиала ПАО «Россети Центр и Приволжье» - «Удмуртэнерго»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Член Закупочной комиссии</w:t>
            </w:r>
          </w:p>
        </w:tc>
      </w:tr>
      <w:tr>
        <w:trPr>
          <w:trHeight w:val="337" w:hRule="atLeast"/>
        </w:trPr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Гараев Л.А.</w:t>
            </w:r>
          </w:p>
        </w:tc>
        <w:tc>
          <w:tcPr>
            <w:tcW w:w="5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Заместитель директора по реализации услуг филиала ПАО «Россети Центр и Приволжье» - «Удмуртэнерго»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Член Закупочной комиссии</w:t>
            </w:r>
          </w:p>
        </w:tc>
      </w:tr>
      <w:tr>
        <w:trPr>
          <w:trHeight w:val="337" w:hRule="atLeast"/>
        </w:trPr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Ярынченко И.О.</w:t>
            </w:r>
          </w:p>
        </w:tc>
        <w:tc>
          <w:tcPr>
            <w:tcW w:w="5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Начальник управления правового обеспечения </w:t>
            </w:r>
            <w:r>
              <w:rPr>
                <w:bCs/>
                <w:sz w:val="21"/>
                <w:szCs w:val="21"/>
              </w:rPr>
              <w:t>филиала ПАО «Россети Центр и Приволжье» - «Удмуртэнерго»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Член Закупочной комиссии</w:t>
            </w:r>
          </w:p>
        </w:tc>
      </w:tr>
      <w:tr>
        <w:trPr>
          <w:trHeight w:val="337" w:hRule="atLeast"/>
        </w:trPr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Саблина Н.Н.</w:t>
            </w:r>
          </w:p>
        </w:tc>
        <w:tc>
          <w:tcPr>
            <w:tcW w:w="5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Начальник управления логистики и МТО </w:t>
            </w:r>
            <w:r>
              <w:rPr>
                <w:bCs/>
                <w:sz w:val="21"/>
                <w:szCs w:val="21"/>
              </w:rPr>
              <w:t>филиала ПАО «Россети Центр и Приволжье» - «Удмуртэнерго»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Член Закупочной комиссии</w:t>
            </w:r>
          </w:p>
        </w:tc>
      </w:tr>
      <w:tr>
        <w:trPr>
          <w:trHeight w:val="337" w:hRule="atLeast"/>
        </w:trPr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Солянин Р.В</w:t>
            </w:r>
          </w:p>
        </w:tc>
        <w:tc>
          <w:tcPr>
            <w:tcW w:w="5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rPr>
                <w:sz w:val="21"/>
                <w:szCs w:val="21"/>
              </w:rPr>
            </w:pPr>
            <w:r>
              <w:rPr>
                <w:sz w:val="22"/>
                <w:szCs w:val="22"/>
              </w:rPr>
              <w:t>И.о. заместителя генерального директора по инвестиционной деятельности и капитальному строительству ПАО «Россети Центр»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Член Закупочной комиссии</w:t>
            </w:r>
          </w:p>
          <w:p>
            <w:pPr>
              <w:pStyle w:val="Normal"/>
              <w:spacing w:lineRule="auto" w:line="240"/>
              <w:ind w:hanging="0" w:end="0"/>
              <w:jc w:val="star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(по опросному листу)</w:t>
            </w:r>
          </w:p>
        </w:tc>
      </w:tr>
      <w:tr>
        <w:trPr>
          <w:trHeight w:val="337" w:hRule="atLeast"/>
        </w:trPr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Уткин Д.С.</w:t>
            </w:r>
          </w:p>
        </w:tc>
        <w:tc>
          <w:tcPr>
            <w:tcW w:w="5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Заместитель начальника отдела закупочной деятельности </w:t>
            </w:r>
            <w:r>
              <w:rPr>
                <w:bCs/>
                <w:sz w:val="21"/>
                <w:szCs w:val="21"/>
              </w:rPr>
              <w:t>филиала ПАО «Россети Центр и Приволжье» - «Удмуртэнерго»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Ответственный секретарь Закупочной комиссии (без права голоса)</w:t>
            </w:r>
          </w:p>
        </w:tc>
      </w:tr>
    </w:tbl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firstLine="426" w:end="0"/>
        <w:outlineLvl w:val="1"/>
        <w:rPr>
          <w:b/>
          <w:caps/>
          <w:sz w:val="23"/>
          <w:szCs w:val="23"/>
        </w:rPr>
      </w:pPr>
      <w:r>
        <w:rPr>
          <w:b/>
          <w:caps/>
          <w:sz w:val="23"/>
          <w:szCs w:val="23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firstLine="426" w:end="0"/>
        <w:outlineLvl w:val="1"/>
        <w:rPr>
          <w:b/>
          <w:caps/>
          <w:sz w:val="23"/>
          <w:szCs w:val="23"/>
        </w:rPr>
      </w:pPr>
      <w:r>
        <w:rPr>
          <w:sz w:val="23"/>
          <w:szCs w:val="23"/>
        </w:rPr>
        <w:t>На заседании Закупочной комиссии присутствует не менее чем пятьдесят процентов общего числа ее членов. Кворум имеется, комиссия правомочна.</w:t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firstLine="426" w:end="0"/>
        <w:outlineLvl w:val="1"/>
        <w:rPr>
          <w:b/>
          <w:caps/>
          <w:sz w:val="23"/>
          <w:szCs w:val="23"/>
        </w:rPr>
      </w:pPr>
      <w:r>
        <w:rPr>
          <w:b/>
          <w:caps/>
          <w:sz w:val="23"/>
          <w:szCs w:val="23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sz w:val="23"/>
          <w:szCs w:val="23"/>
        </w:rPr>
      </w:pPr>
      <w:r>
        <w:rPr>
          <w:b/>
          <w:sz w:val="23"/>
          <w:szCs w:val="23"/>
        </w:rPr>
        <w:t>КРАТКИЙ ОТЧЕТ:</w:t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firstLine="426" w:end="0"/>
        <w:outlineLvl w:val="1"/>
        <w:rPr>
          <w:b/>
          <w:sz w:val="23"/>
          <w:szCs w:val="23"/>
        </w:rPr>
      </w:pPr>
      <w:r>
        <w:rPr>
          <w:b/>
          <w:sz w:val="23"/>
          <w:szCs w:val="23"/>
        </w:rPr>
      </w:r>
    </w:p>
    <w:p>
      <w:pPr>
        <w:pStyle w:val="BodyText"/>
        <w:widowControl w:val="false"/>
        <w:ind w:firstLine="426" w:end="-6"/>
        <w:jc w:val="both"/>
        <w:rPr/>
      </w:pPr>
      <w:r>
        <w:rPr>
          <w:sz w:val="23"/>
          <w:szCs w:val="23"/>
        </w:rPr>
        <w:t xml:space="preserve">До окончания срока подачи заявок на сайт ЭТП </w:t>
      </w:r>
      <w:hyperlink r:id="rId5">
        <w:r>
          <w:rPr>
            <w:rStyle w:val="Hyperlink"/>
            <w:sz w:val="23"/>
            <w:szCs w:val="23"/>
            <w:lang w:val="en-US"/>
          </w:rPr>
          <w:t>www</w:t>
        </w:r>
        <w:r>
          <w:rPr>
            <w:rStyle w:val="Hyperlink"/>
            <w:sz w:val="23"/>
            <w:szCs w:val="23"/>
          </w:rPr>
          <w:t>.tender.lot-online.ru</w:t>
        </w:r>
      </w:hyperlink>
      <w:r>
        <w:rPr>
          <w:sz w:val="23"/>
          <w:szCs w:val="23"/>
        </w:rPr>
        <w:t xml:space="preserve"> поступила следующая общая часть заявки</w:t>
      </w:r>
      <w:r>
        <w:rPr/>
        <w:t>:</w:t>
      </w:r>
    </w:p>
    <w:tbl>
      <w:tblPr>
        <w:tblW w:w="992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7"/>
        <w:gridCol w:w="7088"/>
        <w:gridCol w:w="2268"/>
      </w:tblGrid>
      <w:tr>
        <w:trPr>
          <w:trHeight w:val="374" w:hRule="atLeast"/>
        </w:trPr>
        <w:tc>
          <w:tcPr>
            <w:tcW w:w="56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№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п/п</w:t>
            </w:r>
          </w:p>
        </w:tc>
        <w:tc>
          <w:tcPr>
            <w:tcW w:w="708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/>
            </w:pPr>
            <w:r>
              <w:rPr>
                <w:sz w:val="22"/>
                <w:szCs w:val="22"/>
              </w:rPr>
              <w:t>Сведения об Участнике закупки</w:t>
            </w:r>
          </w:p>
        </w:tc>
        <w:tc>
          <w:tcPr>
            <w:tcW w:w="226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/>
            </w:pPr>
            <w:r>
              <w:rPr>
                <w:sz w:val="22"/>
                <w:szCs w:val="22"/>
              </w:rPr>
              <w:t>Дата и время регистрации заявки на ЭТП</w:t>
            </w:r>
          </w:p>
        </w:tc>
      </w:tr>
      <w:tr>
        <w:trPr>
          <w:trHeight w:val="375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708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26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4"/>
              </w:numPr>
              <w:snapToGrid w:val="false"/>
              <w:spacing w:lineRule="auto" w:line="2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7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rPr>
                <w:sz w:val="22"/>
                <w:szCs w:val="22"/>
                <w:highlight w:val="yellow"/>
              </w:rPr>
            </w:pPr>
            <w:r>
              <w:rPr>
                <w:rFonts w:eastAsia="TimesNewRomanPSMT;MS Mincho"/>
                <w:sz w:val="22"/>
                <w:szCs w:val="22"/>
              </w:rPr>
              <w:t xml:space="preserve">АО «Меринг Инжиниринг», ИНН </w:t>
            </w:r>
            <w:r>
              <w:rPr>
                <w:color w:val="000000"/>
                <w:sz w:val="22"/>
                <w:szCs w:val="22"/>
                <w:shd w:fill="FFFFFF" w:val="clear"/>
              </w:rPr>
              <w:t>6950049622, КПП 695001001, адрес: 170100, Тверская область, город Тверь, ул. Московская, д.82, помещ. 621, этаж 6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  <w:highlight w:val="yellow"/>
              </w:rPr>
            </w:pPr>
            <w:r>
              <w:rPr>
                <w:sz w:val="22"/>
                <w:szCs w:val="22"/>
              </w:rPr>
              <w:t>26.02.2025 09:33:31 MCK+1</w:t>
            </w:r>
          </w:p>
        </w:tc>
      </w:tr>
    </w:tbl>
    <w:p>
      <w:pPr>
        <w:pStyle w:val="BodyText"/>
        <w:widowControl w:val="false"/>
        <w:ind w:end="-6"/>
        <w:rPr>
          <w:b/>
          <w:sz w:val="23"/>
          <w:szCs w:val="23"/>
        </w:rPr>
      </w:pPr>
      <w:r>
        <w:rPr>
          <w:b/>
          <w:sz w:val="23"/>
          <w:szCs w:val="23"/>
        </w:rPr>
      </w:r>
    </w:p>
    <w:p>
      <w:pPr>
        <w:pStyle w:val="BodyText"/>
        <w:widowControl w:val="false"/>
        <w:ind w:firstLine="426" w:end="-6"/>
        <w:rPr/>
      </w:pPr>
      <w:r>
        <w:rPr>
          <w:sz w:val="23"/>
          <w:szCs w:val="23"/>
        </w:rPr>
        <w:t>Количество поступивших заявок: 1 шт.</w:t>
      </w:r>
    </w:p>
    <w:p>
      <w:pPr>
        <w:pStyle w:val="BodyText"/>
        <w:widowControl w:val="false"/>
        <w:ind w:firstLine="426" w:end="-6"/>
        <w:jc w:val="both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Normal"/>
        <w:widowControl w:val="false"/>
        <w:spacing w:lineRule="auto" w:line="240"/>
        <w:ind w:hanging="0" w:end="0"/>
        <w:rPr/>
      </w:pPr>
      <w:r>
        <w:rPr>
          <w:b/>
          <w:caps/>
          <w:sz w:val="23"/>
          <w:szCs w:val="23"/>
        </w:rPr>
        <w:t>РЕШЕНИЕ ЗАКУПОЧНОЙ КОМИССИИ:</w:t>
      </w:r>
    </w:p>
    <w:p>
      <w:pPr>
        <w:pStyle w:val="Normal"/>
        <w:widowControl w:val="false"/>
        <w:spacing w:lineRule="auto" w:line="240"/>
        <w:ind w:firstLine="426" w:end="0"/>
        <w:rPr>
          <w:b/>
          <w:caps/>
          <w:sz w:val="23"/>
          <w:szCs w:val="23"/>
        </w:rPr>
      </w:pPr>
      <w:r>
        <w:rPr>
          <w:b/>
          <w:caps/>
          <w:sz w:val="23"/>
          <w:szCs w:val="23"/>
        </w:rPr>
      </w:r>
    </w:p>
    <w:p>
      <w:pPr>
        <w:pStyle w:val="Normal"/>
        <w:widowControl w:val="false"/>
        <w:numPr>
          <w:ilvl w:val="0"/>
          <w:numId w:val="3"/>
        </w:numPr>
        <w:tabs>
          <w:tab w:val="clear" w:pos="567"/>
          <w:tab w:val="left" w:pos="851" w:leader="none"/>
        </w:tabs>
        <w:suppressAutoHyphens w:val="true"/>
        <w:spacing w:lineRule="auto" w:line="240"/>
        <w:ind w:firstLine="426" w:start="0" w:end="0"/>
        <w:outlineLvl w:val="2"/>
        <w:rPr>
          <w:b/>
          <w:sz w:val="23"/>
          <w:szCs w:val="23"/>
        </w:rPr>
      </w:pPr>
      <w:bookmarkStart w:id="6" w:name="_Ref93304289"/>
      <w:bookmarkEnd w:id="6"/>
      <w:r>
        <w:rPr>
          <w:b/>
          <w:sz w:val="23"/>
          <w:szCs w:val="23"/>
        </w:rPr>
        <w:t>Признать соответствующей условиям запроса цен общую часть заявки:</w:t>
      </w:r>
    </w:p>
    <w:p>
      <w:pPr>
        <w:pStyle w:val="Normal"/>
        <w:widowControl w:val="false"/>
        <w:spacing w:lineRule="auto" w:line="240"/>
        <w:ind w:firstLine="426" w:end="0"/>
        <w:rPr>
          <w:b/>
          <w:sz w:val="23"/>
          <w:szCs w:val="23"/>
        </w:rPr>
      </w:pPr>
      <w:r>
        <w:rPr>
          <w:b/>
          <w:sz w:val="23"/>
          <w:szCs w:val="23"/>
        </w:rPr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napToGrid w:val="false"/>
        <w:spacing w:lineRule="auto" w:line="240"/>
        <w:ind w:firstLine="426" w:end="0"/>
        <w:rPr>
          <w:sz w:val="23"/>
          <w:szCs w:val="23"/>
        </w:rPr>
      </w:pPr>
      <w:r>
        <w:rPr>
          <w:sz w:val="23"/>
          <w:szCs w:val="23"/>
        </w:rPr>
        <w:t xml:space="preserve">- </w:t>
      </w:r>
      <w:r>
        <w:rPr>
          <w:rFonts w:eastAsia="TimesNewRomanPSMT;MS Mincho"/>
          <w:sz w:val="23"/>
          <w:szCs w:val="23"/>
        </w:rPr>
        <w:t xml:space="preserve">АО «Меринг Инжиниринг», ИНН </w:t>
      </w:r>
      <w:r>
        <w:rPr>
          <w:color w:val="000000"/>
          <w:sz w:val="23"/>
          <w:szCs w:val="23"/>
          <w:shd w:fill="FFFFFF" w:val="clear"/>
        </w:rPr>
        <w:t>6950049622, КПП 695001001, адрес: 170100, Тверская область, город Тверь, ул. Московская, д.82, помещ. 621, этаж 6</w:t>
      </w:r>
      <w:r>
        <w:rPr>
          <w:sz w:val="23"/>
          <w:szCs w:val="23"/>
        </w:rPr>
        <w:t xml:space="preserve">. </w:t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napToGrid w:val="false"/>
        <w:spacing w:lineRule="auto" w:line="240"/>
        <w:ind w:firstLine="426" w:end="0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Normal"/>
        <w:widowControl w:val="false"/>
        <w:numPr>
          <w:ilvl w:val="0"/>
          <w:numId w:val="3"/>
        </w:numPr>
        <w:tabs>
          <w:tab w:val="clear" w:pos="567"/>
          <w:tab w:val="left" w:pos="851" w:leader="none"/>
          <w:tab w:val="right" w:pos="9360" w:leader="none"/>
        </w:tabs>
        <w:spacing w:lineRule="auto" w:line="240"/>
        <w:ind w:firstLine="426" w:start="0" w:end="0"/>
        <w:rPr>
          <w:sz w:val="23"/>
          <w:szCs w:val="23"/>
        </w:rPr>
      </w:pPr>
      <w:r>
        <w:rPr>
          <w:iCs/>
          <w:sz w:val="23"/>
          <w:szCs w:val="23"/>
        </w:rPr>
        <w:t>Признать запрос цен несостоявшимся в соответствии с подпунктом (а) пункта 7.5.1 Единого стандарта закупок Публичного акционерного общества «Федеральная сетевая компания - Россети» (Положение о закупке), поскольку на момент окончания подачи заявок подана только одна заявка.</w:t>
      </w:r>
    </w:p>
    <w:p>
      <w:pPr>
        <w:pStyle w:val="Normal"/>
        <w:widowControl w:val="false"/>
        <w:tabs>
          <w:tab w:val="clear" w:pos="567"/>
          <w:tab w:val="left" w:pos="426" w:leader="none"/>
        </w:tabs>
        <w:spacing w:lineRule="auto" w:line="240"/>
        <w:ind w:firstLine="426" w:end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overflowPunct w:val="false"/>
        <w:autoSpaceDE w:val="false"/>
        <w:spacing w:lineRule="auto" w:line="240"/>
        <w:ind w:firstLine="426" w:end="0"/>
        <w:textAlignment w:val="baseline"/>
        <w:rPr/>
      </w:pPr>
      <w:bookmarkStart w:id="7" w:name="_Ref93304289"/>
      <w:bookmarkEnd w:id="7"/>
      <w:r>
        <w:rPr>
          <w:b/>
          <w:i/>
          <w:sz w:val="21"/>
          <w:szCs w:val="21"/>
          <w:lang w:val="en-US"/>
        </w:rPr>
        <w:t xml:space="preserve">Я, член Закупочной комиссии, подписавший настоящий протокол, подтверждаю, что не связан в настоящем ни с одним из участников данного запроса цен таким образом, что это помешает беспристрастно </w:t>
      </w:r>
      <w:r>
        <w:rPr>
          <w:b/>
          <w:i/>
          <w:sz w:val="21"/>
          <w:szCs w:val="21"/>
        </w:rPr>
        <w:t>рассматривать</w:t>
      </w:r>
      <w:r>
        <w:rPr>
          <w:b/>
          <w:i/>
          <w:sz w:val="21"/>
          <w:szCs w:val="21"/>
          <w:lang w:val="en-US"/>
        </w:rPr>
        <w:t xml:space="preserve"> поданные заявки участников.</w:t>
      </w:r>
    </w:p>
    <w:p>
      <w:pPr>
        <w:pStyle w:val="Normal"/>
        <w:overflowPunct w:val="false"/>
        <w:autoSpaceDE w:val="false"/>
        <w:spacing w:lineRule="auto" w:line="240"/>
        <w:ind w:firstLine="426" w:end="0"/>
        <w:textAlignment w:val="baseline"/>
        <w:rPr/>
      </w:pPr>
      <w:r>
        <w:rPr>
          <w:b/>
          <w:i/>
          <w:sz w:val="21"/>
          <w:szCs w:val="21"/>
          <w:lang w:val="en-US"/>
        </w:rPr>
        <w:t xml:space="preserve">В случае возникновения в период проведения запроса цен любых обстоятельств, мешающих давать беспристрастные оценки, либо в случае попытки оказания влияния на оценки члена Закупочной комиссии со стороны участников или иных лиц, не участвующих в </w:t>
      </w:r>
      <w:r>
        <w:rPr>
          <w:b/>
          <w:i/>
          <w:sz w:val="21"/>
          <w:szCs w:val="21"/>
        </w:rPr>
        <w:t>рассмотрении</w:t>
      </w:r>
      <w:r>
        <w:rPr>
          <w:b/>
          <w:i/>
          <w:sz w:val="21"/>
          <w:szCs w:val="21"/>
          <w:lang w:val="en-US"/>
        </w:rPr>
        <w:t xml:space="preserve"> заявок, член Закупочной комиссии обязуется незамедлительно доложить об этом лично председателю Закупочной комиссии.</w:t>
      </w:r>
    </w:p>
    <w:p>
      <w:pPr>
        <w:pStyle w:val="Normal"/>
        <w:overflowPunct w:val="false"/>
        <w:autoSpaceDE w:val="false"/>
        <w:spacing w:lineRule="auto" w:line="240"/>
        <w:ind w:firstLine="426" w:end="0"/>
        <w:textAlignment w:val="baseline"/>
        <w:rPr/>
      </w:pPr>
      <w:r>
        <w:rPr>
          <w:b/>
          <w:i/>
          <w:sz w:val="21"/>
          <w:szCs w:val="21"/>
          <w:lang w:val="en-US"/>
        </w:rPr>
        <w:t>Вс</w:t>
      </w:r>
      <w:r>
        <w:rPr>
          <w:b/>
          <w:i/>
          <w:sz w:val="21"/>
          <w:szCs w:val="21"/>
        </w:rPr>
        <w:t>ю</w:t>
      </w:r>
      <w:r>
        <w:rPr>
          <w:b/>
          <w:i/>
          <w:sz w:val="21"/>
          <w:szCs w:val="21"/>
          <w:lang w:val="en-US"/>
        </w:rPr>
        <w:t xml:space="preserve"> информаци</w:t>
      </w:r>
      <w:r>
        <w:rPr>
          <w:b/>
          <w:i/>
          <w:sz w:val="21"/>
          <w:szCs w:val="21"/>
        </w:rPr>
        <w:t>ю</w:t>
      </w:r>
      <w:r>
        <w:rPr>
          <w:b/>
          <w:i/>
          <w:sz w:val="21"/>
          <w:szCs w:val="21"/>
          <w:lang w:val="en-US"/>
        </w:rPr>
        <w:t xml:space="preserve"> о заявках, разъяснениях, рассмотрении, отбору, оценках и сопоставлении заявок, до подведения результатов запроса цен, член Закупочной комиссии обязуется ни при каких обстоятельствах не сообщать участникам и лицам, не имеющим отношения к процедуре рассмотрения заявок.</w:t>
      </w:r>
    </w:p>
    <w:p>
      <w:pPr>
        <w:pStyle w:val="Normal"/>
        <w:overflowPunct w:val="false"/>
        <w:autoSpaceDE w:val="false"/>
        <w:spacing w:lineRule="auto" w:line="240"/>
        <w:ind w:firstLine="426" w:end="0"/>
        <w:textAlignment w:val="baseline"/>
        <w:rPr>
          <w:b/>
          <w:i/>
          <w:i/>
          <w:sz w:val="21"/>
          <w:szCs w:val="21"/>
          <w:lang w:val="en-US"/>
        </w:rPr>
      </w:pPr>
      <w:r>
        <w:rPr>
          <w:b/>
          <w:i/>
          <w:sz w:val="21"/>
          <w:szCs w:val="21"/>
          <w:lang w:val="en-US"/>
        </w:rPr>
        <w:t>В случае необходимости обращения к Участнику запроса цен до подведения результатов, член Закупочной комиссии обязуется это сделать через Организатора данного запроса цен.</w:t>
      </w:r>
    </w:p>
    <w:p>
      <w:pPr>
        <w:pStyle w:val="Normal"/>
        <w:overflowPunct w:val="false"/>
        <w:autoSpaceDE w:val="false"/>
        <w:spacing w:lineRule="auto" w:line="240"/>
        <w:ind w:firstLine="426" w:end="0"/>
        <w:textAlignment w:val="baseline"/>
        <w:rPr/>
      </w:pPr>
      <w:r>
        <w:rPr>
          <w:b/>
          <w:i/>
          <w:sz w:val="21"/>
          <w:szCs w:val="21"/>
          <w:lang w:val="en-US"/>
        </w:rPr>
        <w:t>Член Закупочной комиссии несет персональную ответственность за разглашение этих сведений до подведения результатов запроса цен</w:t>
      </w:r>
      <w:r>
        <w:rPr>
          <w:b/>
          <w:i/>
          <w:sz w:val="21"/>
          <w:szCs w:val="21"/>
        </w:rPr>
        <w:t>.</w:t>
      </w:r>
    </w:p>
    <w:p>
      <w:pPr>
        <w:pStyle w:val="Normal"/>
        <w:widowControl w:val="false"/>
        <w:tabs>
          <w:tab w:val="clear" w:pos="567"/>
          <w:tab w:val="left" w:pos="1440" w:leader="none"/>
        </w:tabs>
        <w:spacing w:lineRule="auto" w:line="240"/>
        <w:ind w:hanging="0" w:end="0"/>
        <w:rPr>
          <w:b/>
          <w:i/>
          <w:i/>
          <w:sz w:val="22"/>
          <w:szCs w:val="22"/>
        </w:rPr>
      </w:pPr>
      <w:r>
        <w:rPr>
          <w:b/>
          <w:i/>
          <w:sz w:val="22"/>
          <w:szCs w:val="22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caps/>
          <w:sz w:val="22"/>
          <w:szCs w:val="22"/>
        </w:rPr>
      </w:pPr>
      <w:r>
        <w:rPr>
          <w:b/>
          <w:sz w:val="22"/>
          <w:szCs w:val="22"/>
        </w:rPr>
        <w:t>РЕЗУЛЬТАТЫ ГОЛОСОВАНИЯ:</w:t>
      </w:r>
    </w:p>
    <w:p>
      <w:pPr>
        <w:pStyle w:val="Normal"/>
        <w:widowControl w:val="false"/>
        <w:spacing w:lineRule="auto" w:line="240"/>
        <w:ind w:hanging="0" w:end="0"/>
        <w:rPr/>
      </w:pPr>
      <w:r>
        <w:rPr>
          <w:sz w:val="22"/>
          <w:szCs w:val="22"/>
        </w:rPr>
        <w:t>«За» _____ членов Закупочной комиссии.</w:t>
      </w:r>
    </w:p>
    <w:p>
      <w:pPr>
        <w:pStyle w:val="Normal"/>
        <w:widowControl w:val="false"/>
        <w:spacing w:lineRule="auto" w:line="240"/>
        <w:ind w:hanging="0" w:end="0"/>
        <w:rPr/>
      </w:pPr>
      <w:r>
        <w:rPr>
          <w:sz w:val="22"/>
          <w:szCs w:val="22"/>
        </w:rPr>
        <w:t>«Против» _____ членов Закупочной комиссии.</w:t>
      </w:r>
    </w:p>
    <w:p>
      <w:pPr>
        <w:pStyle w:val="Normal"/>
        <w:widowControl w:val="false"/>
        <w:spacing w:lineRule="auto" w:line="240"/>
        <w:ind w:hanging="0" w:end="0"/>
        <w:rPr/>
      </w:pPr>
      <w:r>
        <w:rPr>
          <w:sz w:val="22"/>
          <w:szCs w:val="22"/>
        </w:rPr>
        <w:t>«Воздержалось» _____ членов Закупочной комиссии.</w:t>
      </w:r>
    </w:p>
    <w:p>
      <w:pPr>
        <w:pStyle w:val="Normal"/>
        <w:widowControl w:val="false"/>
        <w:spacing w:lineRule="auto" w:line="240"/>
        <w:ind w:firstLine="426" w:end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/>
      </w:pPr>
      <w:r>
        <w:rPr/>
        <w:t>ПОДПИСИ ЧЛЕНОВ Закупочной КОМИССИИ:</w:t>
      </w:r>
    </w:p>
    <w:tbl>
      <w:tblPr>
        <w:tblW w:w="957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998"/>
        <w:gridCol w:w="3023"/>
        <w:gridCol w:w="2557"/>
      </w:tblGrid>
      <w:tr>
        <w:trPr>
          <w:trHeight w:val="555" w:hRule="atLeast"/>
          <w:cantSplit w:val="true"/>
        </w:trPr>
        <w:tc>
          <w:tcPr>
            <w:tcW w:w="3998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Председатель 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Закупочной комиссии:</w:t>
            </w:r>
          </w:p>
        </w:tc>
        <w:tc>
          <w:tcPr>
            <w:tcW w:w="3023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_______________________</w:t>
            </w:r>
          </w:p>
        </w:tc>
        <w:tc>
          <w:tcPr>
            <w:tcW w:w="2557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Малышев А.А.</w:t>
            </w:r>
          </w:p>
        </w:tc>
      </w:tr>
      <w:tr>
        <w:trPr>
          <w:trHeight w:val="555" w:hRule="atLeast"/>
          <w:cantSplit w:val="true"/>
        </w:trPr>
        <w:tc>
          <w:tcPr>
            <w:tcW w:w="3998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Заместитель председателя 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Закупочной комиссии:</w:t>
            </w:r>
          </w:p>
        </w:tc>
        <w:tc>
          <w:tcPr>
            <w:tcW w:w="3023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_______________________</w:t>
            </w:r>
          </w:p>
        </w:tc>
        <w:tc>
          <w:tcPr>
            <w:tcW w:w="2557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Петрова Н.А.</w:t>
            </w:r>
          </w:p>
        </w:tc>
      </w:tr>
      <w:tr>
        <w:trPr>
          <w:trHeight w:val="555" w:hRule="atLeast"/>
          <w:cantSplit w:val="true"/>
        </w:trPr>
        <w:tc>
          <w:tcPr>
            <w:tcW w:w="3998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Члены Закупочной комиссии:</w:t>
            </w:r>
          </w:p>
        </w:tc>
        <w:tc>
          <w:tcPr>
            <w:tcW w:w="3023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_______________________</w:t>
            </w:r>
          </w:p>
        </w:tc>
        <w:tc>
          <w:tcPr>
            <w:tcW w:w="2557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Григорьев К.В </w:t>
            </w:r>
          </w:p>
        </w:tc>
      </w:tr>
      <w:tr>
        <w:trPr>
          <w:trHeight w:val="555" w:hRule="atLeast"/>
          <w:cantSplit w:val="true"/>
        </w:trPr>
        <w:tc>
          <w:tcPr>
            <w:tcW w:w="3998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</w:tc>
        <w:tc>
          <w:tcPr>
            <w:tcW w:w="3023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_______________________</w:t>
            </w:r>
          </w:p>
        </w:tc>
        <w:tc>
          <w:tcPr>
            <w:tcW w:w="2557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Пушин А.М.</w:t>
            </w:r>
          </w:p>
        </w:tc>
      </w:tr>
      <w:tr>
        <w:trPr>
          <w:trHeight w:val="555" w:hRule="atLeast"/>
          <w:cantSplit w:val="true"/>
        </w:trPr>
        <w:tc>
          <w:tcPr>
            <w:tcW w:w="3998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</w:tc>
        <w:tc>
          <w:tcPr>
            <w:tcW w:w="3023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_______________________</w:t>
            </w:r>
          </w:p>
        </w:tc>
        <w:tc>
          <w:tcPr>
            <w:tcW w:w="2557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Мозоль Д.В.</w:t>
            </w:r>
          </w:p>
        </w:tc>
      </w:tr>
      <w:tr>
        <w:trPr>
          <w:trHeight w:val="555" w:hRule="atLeast"/>
          <w:cantSplit w:val="true"/>
        </w:trPr>
        <w:tc>
          <w:tcPr>
            <w:tcW w:w="3998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</w:tc>
        <w:tc>
          <w:tcPr>
            <w:tcW w:w="3023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_______________________</w:t>
            </w:r>
          </w:p>
        </w:tc>
        <w:tc>
          <w:tcPr>
            <w:tcW w:w="2557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Лушников И.П.</w:t>
            </w:r>
          </w:p>
        </w:tc>
      </w:tr>
      <w:tr>
        <w:trPr>
          <w:trHeight w:val="555" w:hRule="atLeast"/>
          <w:cantSplit w:val="true"/>
        </w:trPr>
        <w:tc>
          <w:tcPr>
            <w:tcW w:w="3998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</w:tc>
        <w:tc>
          <w:tcPr>
            <w:tcW w:w="3023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______________________</w:t>
            </w:r>
          </w:p>
        </w:tc>
        <w:tc>
          <w:tcPr>
            <w:tcW w:w="2557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Гараев Л.А.</w:t>
            </w:r>
          </w:p>
        </w:tc>
      </w:tr>
      <w:tr>
        <w:trPr>
          <w:trHeight w:val="555" w:hRule="atLeast"/>
          <w:cantSplit w:val="true"/>
        </w:trPr>
        <w:tc>
          <w:tcPr>
            <w:tcW w:w="3998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</w:tc>
        <w:tc>
          <w:tcPr>
            <w:tcW w:w="3023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_______________________</w:t>
            </w:r>
          </w:p>
        </w:tc>
        <w:tc>
          <w:tcPr>
            <w:tcW w:w="2557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Ярынченко И.О.</w:t>
            </w:r>
          </w:p>
        </w:tc>
      </w:tr>
      <w:tr>
        <w:trPr>
          <w:trHeight w:val="555" w:hRule="atLeast"/>
          <w:cantSplit w:val="true"/>
        </w:trPr>
        <w:tc>
          <w:tcPr>
            <w:tcW w:w="3998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</w:tc>
        <w:tc>
          <w:tcPr>
            <w:tcW w:w="3023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_______________________</w:t>
            </w:r>
          </w:p>
        </w:tc>
        <w:tc>
          <w:tcPr>
            <w:tcW w:w="2557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Саблина Н.Н.</w:t>
            </w:r>
          </w:p>
        </w:tc>
      </w:tr>
      <w:tr>
        <w:trPr>
          <w:trHeight w:val="555" w:hRule="atLeast"/>
          <w:cantSplit w:val="true"/>
        </w:trPr>
        <w:tc>
          <w:tcPr>
            <w:tcW w:w="3998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</w:tc>
        <w:tc>
          <w:tcPr>
            <w:tcW w:w="3023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   </w:t>
            </w:r>
            <w:r>
              <w:rPr>
                <w:sz w:val="23"/>
                <w:szCs w:val="23"/>
              </w:rPr>
              <w:t>По опросному листу</w:t>
            </w:r>
          </w:p>
        </w:tc>
        <w:tc>
          <w:tcPr>
            <w:tcW w:w="2557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Солянин Р.В.</w:t>
            </w:r>
          </w:p>
        </w:tc>
      </w:tr>
      <w:tr>
        <w:trPr>
          <w:trHeight w:val="555" w:hRule="atLeast"/>
          <w:cantSplit w:val="true"/>
        </w:trPr>
        <w:tc>
          <w:tcPr>
            <w:tcW w:w="3998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Ответственный секретарь 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Закупочной комиссии:</w:t>
            </w:r>
          </w:p>
        </w:tc>
        <w:tc>
          <w:tcPr>
            <w:tcW w:w="3023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_______________________</w:t>
            </w:r>
          </w:p>
        </w:tc>
        <w:tc>
          <w:tcPr>
            <w:tcW w:w="2557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Уткин Д.С.</w:t>
            </w:r>
          </w:p>
        </w:tc>
      </w:tr>
    </w:tbl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caps/>
          <w:sz w:val="22"/>
          <w:szCs w:val="22"/>
        </w:rPr>
      </w:pPr>
      <w:r>
        <w:rPr>
          <w:b/>
          <w:caps/>
          <w:sz w:val="22"/>
          <w:szCs w:val="22"/>
        </w:rPr>
      </w:r>
    </w:p>
    <w:sectPr>
      <w:headerReference w:type="default" r:id="rId6"/>
      <w:footerReference w:type="default" r:id="rId7"/>
      <w:type w:val="nextPage"/>
      <w:pgSz w:w="11906" w:h="16838"/>
      <w:pgMar w:left="1134" w:right="849" w:gutter="0" w:header="680" w:top="1669" w:footer="68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Tahoma">
    <w:charset w:val="cc" w:characterSet="windows-1251"/>
    <w:family w:val="swiss"/>
    <w:pitch w:val="variable"/>
  </w:font>
  <w:font w:name="Verdana">
    <w:charset w:val="cc" w:characterSet="windows-1251"/>
    <w:family w:val="swiss"/>
    <w:pitch w:val="variable"/>
  </w:font>
  <w:font w:name="MinionPro-Regular">
    <w:altName w:val="Times New Roman"/>
    <w:charset w:val="cc" w:characterSet="windows-1251"/>
    <w:family w:val="auto"/>
    <w:pitch w:val="default"/>
  </w:font>
  <w:font w:name="PF Din Text Cond Pro Light">
    <w:charset w:val="cc" w:characterSet="windows-1251"/>
    <w:family w:val="auto"/>
    <w:pitch w:val="variable"/>
  </w:font>
  <w:font w:name="Calibri">
    <w:charset w:val="cc" w:characterSet="windows-1251"/>
    <w:family w:val="swiss"/>
    <w:pitch w:val="variable"/>
  </w:font>
  <w:font w:name="PF Din Text Cond Pro">
    <w:charset w:val="00" w:characterSet="windows-125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>
        <w:rStyle w:val="PageNumber"/>
      </w:rPr>
      <w:t xml:space="preserve">стр.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4</w:t>
    </w:r>
    <w:r>
      <w:rPr>
        <w:rStyle w:val="PageNumber"/>
      </w:rPr>
      <w:fldChar w:fldCharType="end"/>
    </w:r>
    <w:r>
      <w:rPr>
        <w:rStyle w:val="PageNumber"/>
      </w:rPr>
      <w:t xml:space="preserve"> из </w:t>
    </w:r>
    <w:r>
      <w:rPr>
        <w:rStyle w:val="PageNumber"/>
      </w:rPr>
      <w:fldChar w:fldCharType="begin"/>
    </w:r>
    <w:r>
      <w:rPr>
        <w:rStyle w:val="PageNumber"/>
      </w:rPr>
      <w:instrText xml:space="preserve"> NUMPAGES \* ARABIC </w:instrText>
    </w:r>
    <w:r>
      <w:rPr>
        <w:rStyle w:val="PageNumber"/>
      </w:rPr>
      <w:fldChar w:fldCharType="separate"/>
    </w:r>
    <w:r>
      <w:rPr>
        <w:rStyle w:val="PageNumber"/>
      </w:rPr>
      <w:t>4</w:t>
    </w:r>
    <w:r>
      <w:rPr>
        <w:rStyle w:val="PageNumber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  <w:t xml:space="preserve">Протокол очного заседания </w:t>
    </w:r>
    <w:r>
      <w:rPr>
        <w:lang w:val="ru-RU"/>
      </w:rPr>
      <w:t>Закупочной</w:t>
    </w:r>
    <w:r>
      <w:rPr/>
      <w:t xml:space="preserve"> комиссии </w:t>
    </w:r>
  </w:p>
  <w:p>
    <w:pPr>
      <w:pStyle w:val="Header"/>
      <w:jc w:val="end"/>
      <w:rPr/>
    </w:pPr>
    <w:r>
      <w:rPr/>
      <w:t xml:space="preserve">по рассмотрению </w:t>
    </w:r>
    <w:r>
      <w:rPr>
        <w:lang w:val="ru-RU"/>
      </w:rPr>
      <w:t xml:space="preserve">общих частей </w:t>
    </w:r>
    <w:r>
      <w:rPr/>
      <w:t>заявок участников</w:t>
    </w:r>
  </w:p>
  <w:p>
    <w:pPr>
      <w:pStyle w:val="Header"/>
      <w:jc w:val="end"/>
      <w:rPr>
        <w:lang w:val="ru-RU"/>
      </w:rPr>
    </w:pPr>
    <w:r>
      <w:rPr/>
      <w:t xml:space="preserve">№ </w:t>
    </w:r>
    <w:r>
      <w:rPr>
        <w:lang w:val="ru-RU"/>
      </w:rPr>
      <w:t>0047-УД</w:t>
    </w:r>
    <w:r>
      <w:rPr/>
      <w:t>-</w:t>
    </w:r>
    <w:r>
      <w:rPr>
        <w:lang w:val="ru-RU"/>
      </w:rPr>
      <w:t>25-1</w:t>
    </w:r>
  </w:p>
  <w:p>
    <w:pPr>
      <w:pStyle w:val="Header"/>
      <w:jc w:val="end"/>
      <w:rPr>
        <w:sz w:val="6"/>
        <w:szCs w:val="6"/>
        <w:lang w:val="ru-RU"/>
      </w:rPr>
    </w:pPr>
    <w:r>
      <w:rPr>
        <w:sz w:val="6"/>
        <w:szCs w:val="6"/>
        <w:lang w:val="ru-RU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432"/>
        </w:tabs>
        <w:ind w:start="432" w:hanging="432"/>
      </w:pPr>
      <w:rPr/>
    </w:lvl>
    <w:lvl w:ilvl="1">
      <w:start w:val="1"/>
      <w:numFmt w:val="decimal"/>
      <w:lvlText w:val="%1.%2."/>
      <w:lvlJc w:val="start"/>
      <w:pPr>
        <w:tabs>
          <w:tab w:val="num" w:pos="576"/>
        </w:tabs>
        <w:ind w:start="576" w:hanging="576"/>
      </w:pPr>
      <w:rPr/>
    </w:lvl>
    <w:lvl w:ilvl="2">
      <w:start w:val="1"/>
      <w:numFmt w:val="decimal"/>
      <w:lvlText w:val="%1.%2.%3."/>
      <w:lvlJc w:val="start"/>
      <w:pPr>
        <w:tabs>
          <w:tab w:val="num" w:pos="720"/>
        </w:tabs>
        <w:ind w:start="720" w:hanging="720"/>
      </w:pPr>
      <w:rPr/>
    </w:lvl>
    <w:lvl w:ilvl="3">
      <w:start w:val="1"/>
      <w:numFmt w:val="decimal"/>
      <w:lvlText w:val="%1.%2.%3.%4"/>
      <w:lvlJc w:val="start"/>
      <w:pPr>
        <w:tabs>
          <w:tab w:val="num" w:pos="864"/>
        </w:tabs>
        <w:ind w:start="864" w:hanging="864"/>
      </w:pPr>
      <w:rPr/>
    </w:lvl>
    <w:lvl w:ilvl="4">
      <w:start w:val="1"/>
      <w:pStyle w:val="Heading5"/>
      <w:numFmt w:val="decimal"/>
      <w:lvlText w:val="%1.%2.%3.%4.%5"/>
      <w:lvlJc w:val="start"/>
      <w:pPr>
        <w:tabs>
          <w:tab w:val="num" w:pos="1008"/>
        </w:tabs>
        <w:ind w:start="1008" w:hanging="1008"/>
      </w:pPr>
      <w:rPr/>
    </w:lvl>
    <w:lvl w:ilvl="5">
      <w:start w:val="1"/>
      <w:pStyle w:val="Heading6"/>
      <w:numFmt w:val="decimal"/>
      <w:lvlText w:val="%1.%2.%3.%4.%5.%6"/>
      <w:lvlJc w:val="start"/>
      <w:pPr>
        <w:tabs>
          <w:tab w:val="num" w:pos="1152"/>
        </w:tabs>
        <w:ind w:start="1152" w:hanging="1152"/>
      </w:pPr>
      <w:rPr/>
    </w:lvl>
    <w:lvl w:ilvl="6">
      <w:start w:val="1"/>
      <w:pStyle w:val="Heading7"/>
      <w:numFmt w:val="decimal"/>
      <w:lvlText w:val="%1.%2.%3.%4.%5.%6.%7"/>
      <w:lvlJc w:val="start"/>
      <w:pPr>
        <w:tabs>
          <w:tab w:val="num" w:pos="1296"/>
        </w:tabs>
        <w:ind w:start="1296" w:hanging="1296"/>
      </w:pPr>
      <w:rPr/>
    </w:lvl>
    <w:lvl w:ilvl="7">
      <w:start w:val="1"/>
      <w:pStyle w:val="Heading8"/>
      <w:numFmt w:val="decimal"/>
      <w:lvlText w:val="%1.%2.%3.%4.%5.%6.%7.%8"/>
      <w:lvlJc w:val="start"/>
      <w:pPr>
        <w:tabs>
          <w:tab w:val="num" w:pos="1440"/>
        </w:tabs>
        <w:ind w:start="1440" w:hanging="1440"/>
      </w:pPr>
      <w:rPr/>
    </w:lvl>
    <w:lvl w:ilvl="8">
      <w:start w:val="1"/>
      <w:pStyle w:val="Heading9"/>
      <w:numFmt w:val="decimal"/>
      <w:lvlText w:val="%1.%2.%3.%4.%5.%6.%7.%8.%9"/>
      <w:lvlJc w:val="start"/>
      <w:pPr>
        <w:tabs>
          <w:tab w:val="num" w:pos="1584"/>
        </w:tabs>
        <w:ind w:start="1584" w:hanging="1584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926"/>
        </w:tabs>
        <w:ind w:start="926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87"/>
        </w:tabs>
        <w:ind w:start="153" w:firstLine="567"/>
      </w:pPr>
      <w:rPr>
        <w:b/>
      </w:rPr>
    </w:lvl>
    <w:lvl w:ilvl="1">
      <w:start w:val="1"/>
      <w:numFmt w:val="decimal"/>
      <w:lvlText w:val="%1.%2."/>
      <w:lvlJc w:val="start"/>
      <w:pPr>
        <w:tabs>
          <w:tab w:val="num" w:pos="708"/>
        </w:tabs>
        <w:ind w:start="2126" w:hanging="708"/>
      </w:pPr>
      <w:rPr/>
    </w:lvl>
    <w:lvl w:ilvl="2">
      <w:start w:val="1"/>
      <w:numFmt w:val="decimal"/>
      <w:lvlText w:val="%1.%2.%3."/>
      <w:lvlJc w:val="start"/>
      <w:pPr>
        <w:tabs>
          <w:tab w:val="num" w:pos="2835"/>
        </w:tabs>
        <w:ind w:start="2835" w:hanging="708"/>
      </w:pPr>
      <w:rPr/>
    </w:lvl>
    <w:lvl w:ilvl="3">
      <w:start w:val="1"/>
      <w:numFmt w:val="decimal"/>
      <w:lvlText w:val="%1.%2.%3.%4."/>
      <w:lvlJc w:val="start"/>
      <w:pPr>
        <w:tabs>
          <w:tab w:val="num" w:pos="708"/>
        </w:tabs>
        <w:ind w:start="3540" w:hanging="708"/>
      </w:pPr>
      <w:rPr/>
    </w:lvl>
    <w:lvl w:ilvl="4">
      <w:start w:val="1"/>
      <w:numFmt w:val="decimal"/>
      <w:lvlText w:val="%1.%2.%3.%4.%5."/>
      <w:lvlJc w:val="start"/>
      <w:pPr>
        <w:tabs>
          <w:tab w:val="num" w:pos="708"/>
        </w:tabs>
        <w:ind w:start="4248" w:hanging="708"/>
      </w:pPr>
      <w:rPr/>
    </w:lvl>
    <w:lvl w:ilvl="5">
      <w:start w:val="0"/>
      <w:numFmt w:val="none"/>
      <w:suff w:val="nothing"/>
      <w:lvlText w:val=""/>
      <w:lvlJc w:val="start"/>
      <w:pPr>
        <w:tabs>
          <w:tab w:val="num" w:pos="360"/>
        </w:tabs>
        <w:ind w:start="0" w:hanging="0"/>
      </w:pPr>
    </w:lvl>
    <w:lvl w:ilvl="6">
      <w:start w:val="1"/>
      <w:numFmt w:val="decimal"/>
      <w:lvlText w:val="%1.%2.%3.%4.%5.%6%7."/>
      <w:lvlJc w:val="start"/>
      <w:pPr>
        <w:tabs>
          <w:tab w:val="num" w:pos="708"/>
        </w:tabs>
        <w:ind w:start="5664" w:hanging="708"/>
      </w:pPr>
      <w:rPr/>
    </w:lvl>
    <w:lvl w:ilvl="7">
      <w:start w:val="1"/>
      <w:numFmt w:val="decimal"/>
      <w:lvlText w:val="%1.%2.%3.%4.%5.%6%7.%8."/>
      <w:lvlJc w:val="start"/>
      <w:pPr>
        <w:tabs>
          <w:tab w:val="num" w:pos="708"/>
        </w:tabs>
        <w:ind w:start="6372" w:hanging="708"/>
      </w:pPr>
      <w:rPr/>
    </w:lvl>
    <w:lvl w:ilvl="8">
      <w:start w:val="1"/>
      <w:numFmt w:val="decimal"/>
      <w:lvlText w:val="%1.%2.%3.%4.%5.%6%7.%8.%9."/>
      <w:lvlJc w:val="start"/>
      <w:pPr>
        <w:tabs>
          <w:tab w:val="num" w:pos="708"/>
        </w:tabs>
        <w:ind w:start="7080" w:hanging="708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567"/>
        </w:tabs>
        <w:ind w:start="567" w:hanging="567"/>
      </w:pPr>
      <w:rPr/>
    </w:lvl>
    <w:lvl w:ilvl="1">
      <w:start w:val="1"/>
      <w:numFmt w:val="decimal"/>
      <w:lvlText w:val="%1.%2"/>
      <w:lvlJc w:val="start"/>
      <w:pPr>
        <w:tabs>
          <w:tab w:val="num" w:pos="567"/>
        </w:tabs>
        <w:ind w:start="567" w:hanging="567"/>
      </w:pPr>
      <w:rPr/>
    </w:lvl>
    <w:lvl w:ilvl="2">
      <w:start w:val="1"/>
      <w:numFmt w:val="decimal"/>
      <w:lvlText w:val="%1.%2.%3"/>
      <w:lvlJc w:val="start"/>
      <w:pPr>
        <w:tabs>
          <w:tab w:val="num" w:pos="1134"/>
        </w:tabs>
        <w:ind w:start="1134" w:hanging="1134"/>
      </w:pPr>
      <w:rPr/>
    </w:lvl>
    <w:lvl w:ilvl="3">
      <w:start w:val="1"/>
      <w:numFmt w:val="decimal"/>
      <w:lvlText w:val="%1.%2.%3.%4"/>
      <w:lvlJc w:val="start"/>
      <w:pPr>
        <w:tabs>
          <w:tab w:val="num" w:pos="1701"/>
        </w:tabs>
        <w:ind w:start="1701" w:hanging="1134"/>
      </w:pPr>
      <w:rPr/>
    </w:lvl>
    <w:lvl w:ilvl="4">
      <w:start w:val="1"/>
      <w:numFmt w:val="decimal"/>
      <w:lvlText w:val="%1.%2.%3.%4.%5."/>
      <w:lvlJc w:val="start"/>
      <w:pPr>
        <w:tabs>
          <w:tab w:val="num" w:pos="1080"/>
        </w:tabs>
        <w:ind w:start="108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1080"/>
        </w:tabs>
        <w:ind w:start="1080" w:hanging="10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1440"/>
        </w:tabs>
        <w:ind w:start="1440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1800"/>
        </w:tabs>
        <w:ind w:start="1800" w:hanging="180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134"/>
        </w:tabs>
        <w:ind w:start="1134" w:hanging="1134"/>
      </w:pPr>
      <w:rPr/>
    </w:lvl>
    <w:lvl w:ilvl="1">
      <w:start w:val="1"/>
      <w:numFmt w:val="decimal"/>
      <w:lvlText w:val="%1.%2"/>
      <w:lvlJc w:val="start"/>
      <w:pPr>
        <w:tabs>
          <w:tab w:val="num" w:pos="1134"/>
        </w:tabs>
        <w:ind w:start="1134" w:hanging="1134"/>
      </w:pPr>
      <w:rPr/>
    </w:lvl>
    <w:lvl w:ilvl="2">
      <w:start w:val="1"/>
      <w:numFmt w:val="decimal"/>
      <w:lvlText w:val="%1.%2.%3"/>
      <w:lvlJc w:val="start"/>
      <w:pPr>
        <w:tabs>
          <w:tab w:val="num" w:pos="1134"/>
        </w:tabs>
        <w:ind w:start="1134" w:hanging="1134"/>
      </w:pPr>
      <w:rPr>
        <w:i w:val="false"/>
        <w:b w:val="false"/>
      </w:rPr>
    </w:lvl>
    <w:lvl w:ilvl="3">
      <w:start w:val="1"/>
      <w:numFmt w:val="decimal"/>
      <w:lvlText w:val="%1.%2.%3.%4"/>
      <w:lvlJc w:val="start"/>
      <w:pPr>
        <w:tabs>
          <w:tab w:val="num" w:pos="1134"/>
        </w:tabs>
        <w:ind w:start="1134" w:hanging="1134"/>
      </w:pPr>
      <w:rPr>
        <w:i w:val="false"/>
        <w:b w:val="false"/>
      </w:rPr>
    </w:lvl>
    <w:lvl w:ilvl="4">
      <w:start w:val="1"/>
      <w:numFmt w:val="lowerLetter"/>
      <w:lvlText w:val="%5)"/>
      <w:lvlJc w:val="start"/>
      <w:pPr>
        <w:tabs>
          <w:tab w:val="num" w:pos="1701"/>
        </w:tabs>
        <w:ind w:start="1701" w:hanging="567"/>
      </w:pPr>
      <w:rPr/>
    </w:lvl>
    <w:lvl w:ilvl="5">
      <w:start w:val="1"/>
      <w:numFmt w:val="decimal"/>
      <w:lvlText w:val="%1.%2.%3.%4.%5.%6."/>
      <w:lvlJc w:val="start"/>
      <w:pPr>
        <w:tabs>
          <w:tab w:val="num" w:pos="396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468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540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6120"/>
        </w:tabs>
        <w:ind w:start="4320" w:hanging="1440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1430"/>
        </w:tabs>
        <w:ind w:start="143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567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360"/>
      <w:ind w:firstLine="567" w:start="0" w:end="0"/>
      <w:jc w:val="both"/>
    </w:pPr>
    <w:rPr>
      <w:rFonts w:ascii="Times New Roman" w:hAnsi="Times New Roman" w:eastAsia="Times New Roman" w:cs="Times New Roman"/>
      <w:color w:val="auto"/>
      <w:sz w:val="28"/>
      <w:szCs w:val="20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pageBreakBefore/>
      <w:numPr>
        <w:ilvl w:val="0"/>
        <w:numId w:val="6"/>
      </w:numPr>
      <w:suppressAutoHyphens w:val="true"/>
      <w:spacing w:lineRule="auto" w:line="240" w:before="480" w:after="240"/>
      <w:jc w:val="start"/>
      <w:outlineLvl w:val="0"/>
    </w:pPr>
    <w:rPr>
      <w:rFonts w:ascii="Arial" w:hAnsi="Arial" w:cs="Arial"/>
      <w:b/>
      <w:kern w:val="2"/>
      <w:sz w:val="40"/>
    </w:rPr>
  </w:style>
  <w:style w:type="paragraph" w:styleId="Heading2">
    <w:name w:val="heading 2"/>
    <w:basedOn w:val="Normal"/>
    <w:next w:val="Normal"/>
    <w:qFormat/>
    <w:pPr>
      <w:keepNext w:val="true"/>
      <w:numPr>
        <w:ilvl w:val="0"/>
        <w:numId w:val="6"/>
      </w:numPr>
      <w:suppressAutoHyphens w:val="true"/>
      <w:spacing w:lineRule="auto" w:line="240" w:before="360" w:after="120"/>
      <w:jc w:val="start"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pPr>
      <w:keepNext w:val="true"/>
      <w:numPr>
        <w:ilvl w:val="0"/>
        <w:numId w:val="5"/>
      </w:numPr>
      <w:suppressAutoHyphens w:val="true"/>
      <w:spacing w:lineRule="auto" w:line="240" w:before="120" w:after="120"/>
      <w:jc w:val="start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 w:val="true"/>
      <w:numPr>
        <w:ilvl w:val="0"/>
        <w:numId w:val="5"/>
      </w:numPr>
      <w:tabs>
        <w:tab w:val="clear" w:pos="567"/>
        <w:tab w:val="left" w:pos="1134" w:leader="none"/>
      </w:tabs>
      <w:suppressAutoHyphens w:val="true"/>
      <w:spacing w:lineRule="auto" w:line="240" w:before="240" w:after="120"/>
      <w:ind w:firstLine="567" w:start="1134" w:end="0"/>
      <w:outlineLvl w:val="3"/>
    </w:pPr>
    <w:rPr>
      <w:b/>
      <w:i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tabs>
        <w:tab w:val="clear" w:pos="567"/>
        <w:tab w:val="left" w:pos="1080" w:leader="none"/>
      </w:tabs>
      <w:suppressAutoHyphens w:val="true"/>
      <w:spacing w:before="60" w:after="0"/>
      <w:ind w:hanging="1080" w:start="1080" w:end="0"/>
      <w:outlineLvl w:val="4"/>
    </w:pPr>
    <w:rPr>
      <w:b/>
      <w:sz w:val="26"/>
    </w:rPr>
  </w:style>
  <w:style w:type="paragraph" w:styleId="Heading6">
    <w:name w:val="heading 6"/>
    <w:basedOn w:val="Normal"/>
    <w:next w:val="Normal"/>
    <w:qFormat/>
    <w:pPr>
      <w:widowControl w:val="false"/>
      <w:numPr>
        <w:ilvl w:val="5"/>
        <w:numId w:val="1"/>
      </w:numPr>
      <w:tabs>
        <w:tab w:val="clear" w:pos="567"/>
        <w:tab w:val="left" w:pos="1080" w:leader="none"/>
      </w:tabs>
      <w:suppressAutoHyphens w:val="true"/>
      <w:spacing w:before="240" w:after="60"/>
      <w:ind w:hanging="1080" w:start="1080" w:end="0"/>
      <w:outlineLvl w:val="5"/>
    </w:pPr>
    <w:rPr>
      <w:b/>
      <w:sz w:val="22"/>
    </w:rPr>
  </w:style>
  <w:style w:type="paragraph" w:styleId="Heading7">
    <w:name w:val="heading 7"/>
    <w:basedOn w:val="Normal"/>
    <w:next w:val="Normal"/>
    <w:qFormat/>
    <w:pPr>
      <w:widowControl w:val="false"/>
      <w:numPr>
        <w:ilvl w:val="6"/>
        <w:numId w:val="1"/>
      </w:numPr>
      <w:tabs>
        <w:tab w:val="clear" w:pos="567"/>
        <w:tab w:val="left" w:pos="1440" w:leader="none"/>
      </w:tabs>
      <w:suppressAutoHyphens w:val="true"/>
      <w:spacing w:before="240" w:after="60"/>
      <w:ind w:hanging="1440" w:start="1440" w:end="0"/>
      <w:outlineLvl w:val="6"/>
    </w:pPr>
    <w:rPr>
      <w:sz w:val="26"/>
    </w:rPr>
  </w:style>
  <w:style w:type="paragraph" w:styleId="Heading8">
    <w:name w:val="heading 8"/>
    <w:basedOn w:val="Normal"/>
    <w:next w:val="Normal"/>
    <w:qFormat/>
    <w:pPr>
      <w:widowControl w:val="false"/>
      <w:numPr>
        <w:ilvl w:val="7"/>
        <w:numId w:val="1"/>
      </w:numPr>
      <w:suppressAutoHyphens w:val="true"/>
      <w:spacing w:before="240" w:after="60"/>
      <w:outlineLvl w:val="7"/>
    </w:pPr>
    <w:rPr>
      <w:i/>
      <w:sz w:val="26"/>
    </w:rPr>
  </w:style>
  <w:style w:type="paragraph" w:styleId="Heading9">
    <w:name w:val="heading 9"/>
    <w:basedOn w:val="Normal"/>
    <w:next w:val="Normal"/>
    <w:qFormat/>
    <w:pPr>
      <w:widowControl w:val="false"/>
      <w:numPr>
        <w:ilvl w:val="8"/>
        <w:numId w:val="1"/>
      </w:numPr>
      <w:tabs>
        <w:tab w:val="clear" w:pos="567"/>
        <w:tab w:val="left" w:pos="1800" w:leader="none"/>
      </w:tabs>
      <w:suppressAutoHyphens w:val="true"/>
      <w:spacing w:before="240" w:after="60"/>
      <w:ind w:hanging="1800" w:start="1800" w:end="0"/>
      <w:outlineLvl w:val="8"/>
    </w:pPr>
    <w:rPr>
      <w:rFonts w:ascii="Arial" w:hAnsi="Arial" w:cs="Arial"/>
      <w:sz w:val="22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3z0">
    <w:name w:val="WW8Num3z0"/>
    <w:qFormat/>
    <w:rPr>
      <w:b/>
    </w:rPr>
  </w:style>
  <w:style w:type="character" w:styleId="WW8Num3z1">
    <w:name w:val="WW8Num3z1"/>
    <w:qFormat/>
    <w:rPr/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>
      <w:rFonts w:ascii="Symbol" w:hAnsi="Symbol" w:cs="Symbol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1z2">
    <w:name w:val="WW8Num11z2"/>
    <w:qFormat/>
    <w:rPr>
      <w:b w:val="false"/>
      <w:i w:val="false"/>
    </w:rPr>
  </w:style>
  <w:style w:type="character" w:styleId="WW8Num12z0">
    <w:name w:val="WW8Num12z0"/>
    <w:qFormat/>
    <w:rPr>
      <w:rFonts w:ascii="Wingdings" w:hAnsi="Wingdings" w:cs="Wingdings"/>
    </w:rPr>
  </w:style>
  <w:style w:type="character" w:styleId="WW8Num12z1">
    <w:name w:val="WW8Num12z1"/>
    <w:qFormat/>
    <w:rPr>
      <w:rFonts w:ascii="Courier New" w:hAnsi="Courier New" w:cs="Courier New"/>
    </w:rPr>
  </w:style>
  <w:style w:type="character" w:styleId="WW8Num12z3">
    <w:name w:val="WW8Num12z3"/>
    <w:qFormat/>
    <w:rPr>
      <w:rFonts w:ascii="Symbol" w:hAnsi="Symbol" w:cs="Symbol"/>
    </w:rPr>
  </w:style>
  <w:style w:type="character" w:styleId="WW8Num13z0">
    <w:name w:val="WW8Num13z0"/>
    <w:qFormat/>
    <w:rPr>
      <w:rFonts w:ascii="Symbol" w:hAnsi="Symbol" w:cs="Symbol"/>
    </w:rPr>
  </w:style>
  <w:style w:type="character" w:styleId="WW8Num13z2">
    <w:name w:val="WW8Num13z2"/>
    <w:qFormat/>
    <w:rPr>
      <w:rFonts w:ascii="Wingdings" w:hAnsi="Wingdings" w:cs="Wingdings"/>
    </w:rPr>
  </w:style>
  <w:style w:type="character" w:styleId="WW8Num13z4">
    <w:name w:val="WW8Num13z4"/>
    <w:qFormat/>
    <w:rPr>
      <w:rFonts w:ascii="Courier New" w:hAnsi="Courier New" w:cs="Courier New"/>
    </w:rPr>
  </w:style>
  <w:style w:type="character" w:styleId="WW8Num14z0">
    <w:name w:val="WW8Num14z0"/>
    <w:qFormat/>
    <w:rPr/>
  </w:style>
  <w:style w:type="character" w:styleId="WW8Num15z0">
    <w:name w:val="WW8Num15z0"/>
    <w:qFormat/>
    <w:rPr>
      <w:rFonts w:ascii="Times New Roman" w:hAnsi="Times New Roman" w:cs="Times New Roman"/>
    </w:rPr>
  </w:style>
  <w:style w:type="character" w:styleId="WW8Num15z1">
    <w:name w:val="WW8Num15z1"/>
    <w:qFormat/>
    <w:rPr>
      <w:rFonts w:ascii="Courier New" w:hAnsi="Courier New" w:cs="Courier New"/>
    </w:rPr>
  </w:style>
  <w:style w:type="character" w:styleId="WW8Num15z2">
    <w:name w:val="WW8Num15z2"/>
    <w:qFormat/>
    <w:rPr>
      <w:rFonts w:ascii="Wingdings" w:hAnsi="Wingdings" w:cs="Wingdings"/>
    </w:rPr>
  </w:style>
  <w:style w:type="character" w:styleId="WW8Num15z3">
    <w:name w:val="WW8Num15z3"/>
    <w:qFormat/>
    <w:rPr>
      <w:rFonts w:ascii="Symbol" w:hAnsi="Symbol" w:cs="Symbol"/>
    </w:rPr>
  </w:style>
  <w:style w:type="character" w:styleId="WW8Num16z0">
    <w:name w:val="WW8Num16z0"/>
    <w:qFormat/>
    <w:rPr>
      <w:b/>
      <w:i w:val="false"/>
    </w:rPr>
  </w:style>
  <w:style w:type="character" w:styleId="WW8Num16z1">
    <w:name w:val="WW8Num16z1"/>
    <w:qFormat/>
    <w:rPr/>
  </w:style>
  <w:style w:type="character" w:styleId="WW8Num17z0">
    <w:name w:val="WW8Num17z0"/>
    <w:qFormat/>
    <w:rPr/>
  </w:style>
  <w:style w:type="character" w:styleId="WW8Num18z0">
    <w:name w:val="WW8Num18z0"/>
    <w:qFormat/>
    <w:rPr>
      <w:rFonts w:ascii="Symbol" w:hAnsi="Symbol" w:cs="Symbol"/>
    </w:rPr>
  </w:style>
  <w:style w:type="character" w:styleId="WW8Num18z1">
    <w:name w:val="WW8Num18z1"/>
    <w:qFormat/>
    <w:rPr>
      <w:rFonts w:ascii="Courier New" w:hAnsi="Courier New" w:cs="Courier New"/>
    </w:rPr>
  </w:style>
  <w:style w:type="character" w:styleId="WW8Num18z2">
    <w:name w:val="WW8Num18z2"/>
    <w:qFormat/>
    <w:rPr>
      <w:rFonts w:ascii="Wingdings" w:hAnsi="Wingdings" w:cs="Wingdings"/>
    </w:rPr>
  </w:style>
  <w:style w:type="character" w:styleId="WW8Num19z0">
    <w:name w:val="WW8Num19z0"/>
    <w:qFormat/>
    <w:rPr>
      <w:b/>
    </w:rPr>
  </w:style>
  <w:style w:type="character" w:styleId="WW8Num19z1">
    <w:name w:val="WW8Num19z1"/>
    <w:qFormat/>
    <w:rPr/>
  </w:style>
  <w:style w:type="character" w:styleId="WW8Num20z0">
    <w:name w:val="WW8Num20z0"/>
    <w:qFormat/>
    <w:rPr>
      <w:rFonts w:ascii="Symbol" w:hAnsi="Symbol" w:cs="Symbol"/>
    </w:rPr>
  </w:style>
  <w:style w:type="character" w:styleId="WW8Num20z1">
    <w:name w:val="WW8Num20z1"/>
    <w:qFormat/>
    <w:rPr>
      <w:rFonts w:ascii="Courier New" w:hAnsi="Courier New" w:cs="Courier New"/>
    </w:rPr>
  </w:style>
  <w:style w:type="character" w:styleId="WW8Num20z2">
    <w:name w:val="WW8Num20z2"/>
    <w:qFormat/>
    <w:rPr>
      <w:rFonts w:ascii="Wingdings" w:hAnsi="Wingdings" w:cs="Wingdings"/>
    </w:rPr>
  </w:style>
  <w:style w:type="character" w:styleId="WW8Num21z0">
    <w:name w:val="WW8Num21z0"/>
    <w:qFormat/>
    <w:rPr>
      <w:rFonts w:ascii="Wingdings" w:hAnsi="Wingdings" w:cs="Wingdings"/>
    </w:rPr>
  </w:style>
  <w:style w:type="character" w:styleId="WW8Num21z1">
    <w:name w:val="WW8Num21z1"/>
    <w:qFormat/>
    <w:rPr>
      <w:rFonts w:ascii="Courier New" w:hAnsi="Courier New" w:cs="Courier New"/>
    </w:rPr>
  </w:style>
  <w:style w:type="character" w:styleId="WW8Num21z3">
    <w:name w:val="WW8Num21z3"/>
    <w:qFormat/>
    <w:rPr>
      <w:rFonts w:ascii="Symbol" w:hAnsi="Symbol" w:cs="Symbol"/>
    </w:rPr>
  </w:style>
  <w:style w:type="character" w:styleId="WW8Num22z0">
    <w:name w:val="WW8Num22z0"/>
    <w:qFormat/>
    <w:rPr/>
  </w:style>
  <w:style w:type="character" w:styleId="Style5">
    <w:name w:val="Основной шрифт абзаца"/>
    <w:qFormat/>
    <w:rPr/>
  </w:style>
  <w:style w:type="character" w:styleId="Hyperlink">
    <w:name w:val="Hyperlink"/>
    <w:rPr>
      <w:color w:val="0000FF"/>
      <w:u w:val="single"/>
    </w:rPr>
  </w:style>
  <w:style w:type="character" w:styleId="FootnoteCharacters">
    <w:name w:val="Footnote Characters"/>
    <w:qFormat/>
    <w:rPr>
      <w:vertAlign w:val="superscript"/>
    </w:rPr>
  </w:style>
  <w:style w:type="character" w:styleId="PageNumber">
    <w:name w:val="page number"/>
    <w:rPr>
      <w:rFonts w:ascii="Times New Roman" w:hAnsi="Times New Roman" w:cs="Times New Roman"/>
      <w:sz w:val="20"/>
    </w:rPr>
  </w:style>
  <w:style w:type="character" w:styleId="FollowedHyperlink">
    <w:name w:val="FollowedHyperlink"/>
    <w:rPr>
      <w:color w:val="800080"/>
      <w:u w:val="single"/>
    </w:rPr>
  </w:style>
  <w:style w:type="character" w:styleId="Style6">
    <w:name w:val="Пункт Знак"/>
    <w:qFormat/>
    <w:rPr>
      <w:sz w:val="28"/>
      <w:lang w:val="ru-RU" w:bidi="ar-SA"/>
    </w:rPr>
  </w:style>
  <w:style w:type="character" w:styleId="Style7">
    <w:name w:val="комментарий"/>
    <w:qFormat/>
    <w:rPr>
      <w:b/>
      <w:i/>
      <w:shd w:fill="FFFF99" w:val="clear"/>
    </w:rPr>
  </w:style>
  <w:style w:type="character" w:styleId="1">
    <w:name w:val="Основной текст Знак1"/>
    <w:qFormat/>
    <w:rPr>
      <w:sz w:val="28"/>
      <w:szCs w:val="24"/>
      <w:lang w:val="ru-RU" w:bidi="ar-SA"/>
    </w:rPr>
  </w:style>
  <w:style w:type="character" w:styleId="Style8">
    <w:name w:val="Обычный+ без отступа Знак"/>
    <w:qFormat/>
    <w:rPr>
      <w:rFonts w:eastAsia="MS Mincho;ＭＳ 明朝"/>
      <w:sz w:val="28"/>
      <w:szCs w:val="28"/>
      <w:lang w:val="ru-RU" w:bidi="ar-SA"/>
    </w:rPr>
  </w:style>
  <w:style w:type="character" w:styleId="Style9">
    <w:name w:val="Название Знак"/>
    <w:qFormat/>
    <w:rPr>
      <w:sz w:val="28"/>
    </w:rPr>
  </w:style>
  <w:style w:type="character" w:styleId="Style10">
    <w:name w:val="Верхний колонтитул Знак"/>
    <w:qFormat/>
    <w:rPr>
      <w:i/>
    </w:rPr>
  </w:style>
  <w:style w:type="character" w:styleId="Style11">
    <w:name w:val="Знак примечания"/>
    <w:qFormat/>
    <w:rPr>
      <w:sz w:val="16"/>
      <w:szCs w:val="16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spacing w:lineRule="auto" w:line="240"/>
      <w:ind w:hanging="0" w:start="0" w:end="0"/>
      <w:jc w:val="center"/>
    </w:pPr>
    <w:rPr>
      <w:lang w:val="en-US"/>
    </w:rPr>
  </w:style>
  <w:style w:type="paragraph" w:styleId="BodyText">
    <w:name w:val="Body Text"/>
    <w:basedOn w:val="Normal"/>
    <w:pPr>
      <w:tabs>
        <w:tab w:val="clear" w:pos="567"/>
        <w:tab w:val="right" w:pos="9360" w:leader="none"/>
      </w:tabs>
      <w:spacing w:lineRule="auto" w:line="240"/>
      <w:ind w:hanging="0" w:start="0" w:end="0"/>
      <w:jc w:val="start"/>
    </w:pPr>
    <w:rPr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567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4" w:space="1" w:color="000000"/>
      </w:pBdr>
      <w:tabs>
        <w:tab w:val="clear" w:pos="567"/>
        <w:tab w:val="center" w:pos="4153" w:leader="none"/>
        <w:tab w:val="right" w:pos="8306" w:leader="none"/>
      </w:tabs>
      <w:spacing w:lineRule="auto" w:line="240"/>
      <w:ind w:hanging="0" w:start="0" w:end="0"/>
      <w:jc w:val="center"/>
    </w:pPr>
    <w:rPr>
      <w:i/>
      <w:sz w:val="20"/>
      <w:lang w:val="en-US"/>
    </w:rPr>
  </w:style>
  <w:style w:type="paragraph" w:styleId="Footer">
    <w:name w:val="footer"/>
    <w:basedOn w:val="Normal"/>
    <w:pPr>
      <w:tabs>
        <w:tab w:val="clear" w:pos="567"/>
        <w:tab w:val="center" w:pos="4253" w:leader="none"/>
        <w:tab w:val="right" w:pos="9356" w:leader="none"/>
      </w:tabs>
      <w:spacing w:lineRule="auto" w:line="240"/>
      <w:ind w:hanging="0" w:start="0" w:end="0"/>
    </w:pPr>
    <w:rPr>
      <w:sz w:val="20"/>
    </w:rPr>
  </w:style>
  <w:style w:type="paragraph" w:styleId="TOC1">
    <w:name w:val="toc 1"/>
    <w:basedOn w:val="Normal"/>
    <w:next w:val="Normal"/>
    <w:pPr>
      <w:tabs>
        <w:tab w:val="clear" w:pos="567"/>
        <w:tab w:val="left" w:pos="540" w:leader="none"/>
        <w:tab w:val="right" w:pos="10195" w:leader="dot"/>
      </w:tabs>
      <w:spacing w:lineRule="auto" w:line="240" w:before="240" w:after="120"/>
      <w:ind w:hanging="539" w:start="539" w:end="1134"/>
      <w:jc w:val="start"/>
    </w:pPr>
    <w:rPr>
      <w:b/>
      <w:bCs/>
      <w:caps/>
      <w:szCs w:val="28"/>
      <w:lang w:val="en-US" w:eastAsia="en-US"/>
    </w:rPr>
  </w:style>
  <w:style w:type="paragraph" w:styleId="TOC2">
    <w:name w:val="toc 2"/>
    <w:basedOn w:val="Normal"/>
    <w:next w:val="Normal"/>
    <w:pPr>
      <w:tabs>
        <w:tab w:val="clear" w:pos="567"/>
        <w:tab w:val="left" w:pos="1080" w:leader="none"/>
        <w:tab w:val="right" w:pos="10195" w:leader="dot"/>
      </w:tabs>
      <w:spacing w:lineRule="auto" w:line="240" w:before="120" w:after="120"/>
      <w:ind w:hanging="594" w:start="1134" w:end="1134"/>
      <w:jc w:val="start"/>
    </w:pPr>
    <w:rPr>
      <w:b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567"/>
        <w:tab w:val="left" w:pos="1980" w:leader="none"/>
        <w:tab w:val="right" w:pos="10195" w:leader="dot"/>
      </w:tabs>
      <w:spacing w:lineRule="auto" w:line="240" w:before="0" w:after="120"/>
      <w:ind w:hanging="902" w:start="1979" w:end="1134"/>
      <w:jc w:val="start"/>
    </w:pPr>
    <w:rPr>
      <w:iCs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567"/>
        <w:tab w:val="left" w:pos="2268" w:leader="none"/>
        <w:tab w:val="right" w:pos="10195" w:leader="dot"/>
      </w:tabs>
      <w:spacing w:lineRule="auto" w:line="240" w:before="0" w:after="60"/>
      <w:ind w:hanging="567" w:start="2268" w:end="1134"/>
      <w:jc w:val="start"/>
    </w:pPr>
    <w:rPr>
      <w:sz w:val="24"/>
      <w:szCs w:val="24"/>
    </w:rPr>
  </w:style>
  <w:style w:type="paragraph" w:styleId="Style12">
    <w:name w:val="Схема документа"/>
    <w:basedOn w:val="Normal"/>
    <w:qFormat/>
    <w:pPr>
      <w:shd w:fill="000080" w:val="clear"/>
    </w:pPr>
    <w:rPr>
      <w:rFonts w:ascii="Tahoma" w:hAnsi="Tahoma" w:cs="Tahoma"/>
      <w:sz w:val="20"/>
    </w:rPr>
  </w:style>
  <w:style w:type="paragraph" w:styleId="Style13">
    <w:name w:val="Таблица шапка"/>
    <w:basedOn w:val="Normal"/>
    <w:qFormat/>
    <w:pPr>
      <w:keepNext w:val="true"/>
      <w:spacing w:lineRule="auto" w:line="240" w:before="40" w:after="40"/>
      <w:ind w:hanging="0" w:start="57" w:end="57"/>
      <w:jc w:val="start"/>
    </w:pPr>
    <w:rPr>
      <w:sz w:val="22"/>
    </w:rPr>
  </w:style>
  <w:style w:type="paragraph" w:styleId="FootnoteText">
    <w:name w:val="footnote text"/>
    <w:basedOn w:val="Normal"/>
    <w:pPr>
      <w:spacing w:lineRule="auto" w:line="240"/>
    </w:pPr>
    <w:rPr>
      <w:sz w:val="20"/>
    </w:rPr>
  </w:style>
  <w:style w:type="paragraph" w:styleId="Style14">
    <w:name w:val="Таблица текст"/>
    <w:basedOn w:val="Normal"/>
    <w:qFormat/>
    <w:pPr>
      <w:spacing w:lineRule="auto" w:line="240" w:before="40" w:after="40"/>
      <w:ind w:hanging="0" w:start="57" w:end="57"/>
      <w:jc w:val="start"/>
    </w:pPr>
    <w:rPr>
      <w:sz w:val="24"/>
    </w:rPr>
  </w:style>
  <w:style w:type="paragraph" w:styleId="Style15">
    <w:name w:val="Название объекта"/>
    <w:basedOn w:val="Normal"/>
    <w:next w:val="Normal"/>
    <w:qFormat/>
    <w:pPr>
      <w:pageBreakBefore/>
      <w:suppressAutoHyphens w:val="true"/>
      <w:spacing w:lineRule="auto" w:line="240" w:before="120" w:after="120"/>
      <w:ind w:hanging="0" w:start="0" w:end="0"/>
    </w:pPr>
    <w:rPr>
      <w:bCs/>
      <w:i/>
      <w:sz w:val="24"/>
    </w:rPr>
  </w:style>
  <w:style w:type="paragraph" w:styleId="TOC5">
    <w:name w:val="toc 5"/>
    <w:basedOn w:val="Normal"/>
    <w:next w:val="Normal"/>
    <w:pPr>
      <w:ind w:firstLine="567" w:start="1120" w:end="0"/>
      <w:jc w:val="start"/>
    </w:pPr>
    <w:rPr>
      <w:sz w:val="18"/>
      <w:szCs w:val="18"/>
    </w:rPr>
  </w:style>
  <w:style w:type="paragraph" w:styleId="TOC6">
    <w:name w:val="toc 6"/>
    <w:basedOn w:val="Normal"/>
    <w:next w:val="Normal"/>
    <w:pPr>
      <w:ind w:firstLine="567" w:start="1400" w:end="0"/>
      <w:jc w:val="start"/>
    </w:pPr>
    <w:rPr>
      <w:sz w:val="18"/>
      <w:szCs w:val="18"/>
    </w:rPr>
  </w:style>
  <w:style w:type="paragraph" w:styleId="TOC7">
    <w:name w:val="toc 7"/>
    <w:basedOn w:val="Normal"/>
    <w:next w:val="Normal"/>
    <w:pPr>
      <w:ind w:firstLine="567" w:start="1680" w:end="0"/>
      <w:jc w:val="start"/>
    </w:pPr>
    <w:rPr>
      <w:sz w:val="18"/>
      <w:szCs w:val="18"/>
    </w:rPr>
  </w:style>
  <w:style w:type="paragraph" w:styleId="TOC8">
    <w:name w:val="toc 8"/>
    <w:basedOn w:val="Normal"/>
    <w:next w:val="Normal"/>
    <w:pPr>
      <w:ind w:firstLine="567" w:start="1960" w:end="0"/>
      <w:jc w:val="start"/>
    </w:pPr>
    <w:rPr>
      <w:sz w:val="18"/>
      <w:szCs w:val="18"/>
    </w:rPr>
  </w:style>
  <w:style w:type="paragraph" w:styleId="TOC9">
    <w:name w:val="toc 9"/>
    <w:basedOn w:val="Normal"/>
    <w:next w:val="Normal"/>
    <w:pPr>
      <w:ind w:firstLine="567" w:start="2240" w:end="0"/>
      <w:jc w:val="start"/>
    </w:pPr>
    <w:rPr>
      <w:sz w:val="18"/>
      <w:szCs w:val="18"/>
    </w:rPr>
  </w:style>
  <w:style w:type="paragraph" w:styleId="Style16">
    <w:name w:val="Структура"/>
    <w:basedOn w:val="Normal"/>
    <w:qFormat/>
    <w:pPr>
      <w:pageBreakBefore/>
      <w:pBdr>
        <w:bottom w:val="thinThickSmallGap" w:sz="24" w:space="1" w:color="000000"/>
      </w:pBdr>
      <w:tabs>
        <w:tab w:val="clear" w:pos="567"/>
        <w:tab w:val="left" w:pos="851" w:leader="none"/>
      </w:tabs>
      <w:suppressAutoHyphens w:val="true"/>
      <w:spacing w:lineRule="auto" w:line="240" w:before="480" w:after="240"/>
      <w:ind w:hanging="0" w:start="0" w:end="2835"/>
      <w:jc w:val="start"/>
      <w:outlineLvl w:val="0"/>
    </w:pPr>
    <w:rPr>
      <w:rFonts w:ascii="Arial" w:hAnsi="Arial" w:cs="Arial"/>
      <w:b/>
      <w:caps/>
      <w:sz w:val="36"/>
      <w:szCs w:val="36"/>
    </w:rPr>
  </w:style>
  <w:style w:type="paragraph" w:styleId="Style17">
    <w:name w:val="Главы"/>
    <w:basedOn w:val="Style16"/>
    <w:next w:val="Normal"/>
    <w:qFormat/>
    <w:pPr>
      <w:numPr>
        <w:ilvl w:val="0"/>
        <w:numId w:val="0"/>
      </w:numPr>
      <w:pBdr>
        <w:bottom w:val="nil"/>
      </w:pBdr>
      <w:spacing w:lineRule="auto" w:line="360" w:before="1440" w:after="720"/>
      <w:ind w:hanging="0" w:start="0" w:end="0"/>
      <w:jc w:val="center"/>
    </w:pPr>
    <w:rPr>
      <w:spacing w:val="40"/>
      <w:sz w:val="44"/>
      <w:szCs w:val="44"/>
    </w:rPr>
  </w:style>
  <w:style w:type="paragraph" w:styleId="Style18">
    <w:name w:val="Служебный"/>
    <w:basedOn w:val="Style17"/>
    <w:qFormat/>
    <w:pPr>
      <w:numPr>
        <w:ilvl w:val="0"/>
        <w:numId w:val="0"/>
      </w:numPr>
      <w:ind w:hanging="0" w:start="0" w:end="0"/>
    </w:pPr>
    <w:rPr/>
  </w:style>
  <w:style w:type="paragraph" w:styleId="Style19">
    <w:name w:val="маркированный"/>
    <w:basedOn w:val="Normal"/>
    <w:qFormat/>
    <w:pPr>
      <w:ind w:hanging="0" w:start="0" w:end="0"/>
    </w:pPr>
    <w:rPr/>
  </w:style>
  <w:style w:type="paragraph" w:styleId="Style20">
    <w:name w:val="Пункт"/>
    <w:basedOn w:val="Normal"/>
    <w:qFormat/>
    <w:pPr>
      <w:numPr>
        <w:ilvl w:val="0"/>
        <w:numId w:val="6"/>
      </w:numPr>
    </w:pPr>
    <w:rPr/>
  </w:style>
  <w:style w:type="paragraph" w:styleId="Style21">
    <w:name w:val="Подпункт"/>
    <w:basedOn w:val="Normal"/>
    <w:qFormat/>
    <w:pPr>
      <w:tabs>
        <w:tab w:val="clear" w:pos="567"/>
        <w:tab w:val="left" w:pos="1134" w:leader="none"/>
      </w:tabs>
      <w:ind w:hanging="1134" w:start="1134" w:end="0"/>
    </w:pPr>
    <w:rPr/>
  </w:style>
  <w:style w:type="paragraph" w:styleId="-2">
    <w:name w:val="Пункт-2"/>
    <w:basedOn w:val="Style20"/>
    <w:qFormat/>
    <w:pPr>
      <w:keepNext w:val="true"/>
      <w:outlineLvl w:val="2"/>
    </w:pPr>
    <w:rPr>
      <w:b/>
    </w:rPr>
  </w:style>
  <w:style w:type="paragraph" w:styleId="Style22">
    <w:name w:val="Подподпункт"/>
    <w:basedOn w:val="Normal"/>
    <w:qFormat/>
    <w:pPr>
      <w:numPr>
        <w:ilvl w:val="0"/>
        <w:numId w:val="6"/>
      </w:numPr>
    </w:pPr>
    <w:rPr/>
  </w:style>
  <w:style w:type="paragraph" w:styleId="Style23">
    <w:name w:val="Нумерованный список"/>
    <w:basedOn w:val="Normal"/>
    <w:qFormat/>
    <w:pPr>
      <w:autoSpaceDE w:val="false"/>
      <w:spacing w:before="60" w:after="0"/>
      <w:ind w:hanging="0" w:start="0" w:end="0"/>
    </w:pPr>
    <w:rPr>
      <w:szCs w:val="24"/>
    </w:rPr>
  </w:style>
  <w:style w:type="paragraph" w:styleId="Style24">
    <w:name w:val="Текст таблицы"/>
    <w:basedOn w:val="Normal"/>
    <w:qFormat/>
    <w:pPr>
      <w:spacing w:lineRule="auto" w:line="240" w:before="40" w:after="40"/>
      <w:ind w:hanging="0" w:start="57" w:end="57"/>
      <w:jc w:val="start"/>
    </w:pPr>
    <w:rPr>
      <w:sz w:val="24"/>
      <w:szCs w:val="24"/>
    </w:rPr>
  </w:style>
  <w:style w:type="paragraph" w:styleId="Style25">
    <w:name w:val="Пункт б/н"/>
    <w:basedOn w:val="Normal"/>
    <w:qFormat/>
    <w:pPr>
      <w:tabs>
        <w:tab w:val="clear" w:pos="567"/>
        <w:tab w:val="left" w:pos="1134" w:leader="none"/>
      </w:tabs>
    </w:pPr>
    <w:rPr/>
  </w:style>
  <w:style w:type="paragraph" w:styleId="Style26">
    <w:name w:val="Маркированный список"/>
    <w:basedOn w:val="Normal"/>
    <w:qFormat/>
    <w:pPr>
      <w:spacing w:lineRule="auto" w:line="240"/>
      <w:ind w:hanging="374" w:start="731" w:end="0"/>
    </w:pPr>
    <w:rPr/>
  </w:style>
  <w:style w:type="paragraph" w:styleId="Style27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Style28">
    <w:name w:val="Текст примечания"/>
    <w:basedOn w:val="Normal"/>
    <w:qFormat/>
    <w:pPr/>
    <w:rPr>
      <w:sz w:val="20"/>
    </w:rPr>
  </w:style>
  <w:style w:type="paragraph" w:styleId="Style29">
    <w:name w:val="Тема примечания"/>
    <w:basedOn w:val="Style28"/>
    <w:next w:val="Style28"/>
    <w:qFormat/>
    <w:pPr/>
    <w:rPr>
      <w:b/>
      <w:bCs/>
    </w:rPr>
  </w:style>
  <w:style w:type="paragraph" w:styleId="3">
    <w:name w:val="Маркированный список 3"/>
    <w:basedOn w:val="Normal"/>
    <w:qFormat/>
    <w:pPr>
      <w:numPr>
        <w:ilvl w:val="0"/>
        <w:numId w:val="2"/>
      </w:numPr>
      <w:tabs>
        <w:tab w:val="clear" w:pos="567"/>
        <w:tab w:val="left" w:pos="1080" w:leader="none"/>
      </w:tabs>
      <w:spacing w:before="120" w:after="0"/>
      <w:ind w:firstLine="720" w:start="0" w:end="0"/>
    </w:pPr>
    <w:rPr>
      <w:i/>
      <w:iCs/>
      <w:sz w:val="24"/>
      <w:szCs w:val="24"/>
    </w:rPr>
  </w:style>
  <w:style w:type="paragraph" w:styleId="2">
    <w:name w:val="Маркированный список 2"/>
    <w:basedOn w:val="Normal"/>
    <w:qFormat/>
    <w:pPr>
      <w:widowControl w:val="false"/>
      <w:numPr>
        <w:ilvl w:val="0"/>
        <w:numId w:val="7"/>
      </w:numPr>
      <w:spacing w:before="120" w:after="0"/>
      <w:ind w:hanging="357" w:start="1429" w:end="0"/>
    </w:pPr>
    <w:rPr/>
  </w:style>
  <w:style w:type="paragraph" w:styleId="21">
    <w:name w:val="Основной текст 2"/>
    <w:basedOn w:val="Normal"/>
    <w:qFormat/>
    <w:pPr>
      <w:tabs>
        <w:tab w:val="clear" w:pos="567"/>
        <w:tab w:val="left" w:pos="2201" w:leader="none"/>
      </w:tabs>
      <w:spacing w:lineRule="auto" w:line="240"/>
      <w:ind w:hanging="0" w:start="0" w:end="0"/>
      <w:jc w:val="center"/>
    </w:pPr>
    <w:rPr>
      <w:kern w:val="2"/>
    </w:rPr>
  </w:style>
  <w:style w:type="paragraph" w:styleId="BodyTextIndent">
    <w:name w:val="Body Text Indent"/>
    <w:basedOn w:val="Normal"/>
    <w:pPr>
      <w:spacing w:lineRule="auto" w:line="240"/>
    </w:pPr>
    <w:rPr>
      <w:i/>
    </w:rPr>
  </w:style>
  <w:style w:type="paragraph" w:styleId="22">
    <w:name w:val="Основной текст с отступом 2"/>
    <w:basedOn w:val="Normal"/>
    <w:qFormat/>
    <w:pPr>
      <w:spacing w:lineRule="auto" w:line="240"/>
    </w:pPr>
    <w:rPr>
      <w:szCs w:val="24"/>
    </w:rPr>
  </w:style>
  <w:style w:type="paragraph" w:styleId="11">
    <w:name w:val="Стиль Заголовок 1 + по ширине"/>
    <w:basedOn w:val="Heading1"/>
    <w:qFormat/>
    <w:pPr>
      <w:pageBreakBefore w:val="false"/>
      <w:numPr>
        <w:ilvl w:val="0"/>
        <w:numId w:val="5"/>
      </w:numPr>
      <w:jc w:val="both"/>
    </w:pPr>
    <w:rPr>
      <w:bCs/>
    </w:rPr>
  </w:style>
  <w:style w:type="paragraph" w:styleId="31">
    <w:name w:val="заголовок 3"/>
    <w:basedOn w:val="Normal"/>
    <w:next w:val="Normal"/>
    <w:qFormat/>
    <w:pPr>
      <w:keepNext w:val="true"/>
      <w:autoSpaceDE w:val="false"/>
      <w:spacing w:before="120" w:after="0"/>
      <w:ind w:firstLine="720" w:start="0" w:end="0"/>
      <w:jc w:val="center"/>
      <w:outlineLvl w:val="2"/>
    </w:pPr>
    <w:rPr>
      <w:sz w:val="20"/>
      <w:szCs w:val="24"/>
    </w:rPr>
  </w:style>
  <w:style w:type="paragraph" w:styleId="Style30">
    <w:name w:val="Обычный+ без отступа"/>
    <w:basedOn w:val="Normal"/>
    <w:qFormat/>
    <w:pPr>
      <w:autoSpaceDE w:val="false"/>
      <w:spacing w:before="120" w:after="0"/>
      <w:ind w:hanging="0" w:start="0" w:end="0"/>
    </w:pPr>
    <w:rPr>
      <w:rFonts w:eastAsia="MS Mincho;ＭＳ 明朝"/>
      <w:szCs w:val="28"/>
    </w:rPr>
  </w:style>
  <w:style w:type="paragraph" w:styleId="Style31">
    <w:name w:val="Приложение"/>
    <w:basedOn w:val="Heading1"/>
    <w:qFormat/>
    <w:pPr>
      <w:pageBreakBefore w:val="false"/>
      <w:numPr>
        <w:ilvl w:val="0"/>
        <w:numId w:val="0"/>
      </w:numPr>
      <w:spacing w:lineRule="auto" w:line="360" w:before="60" w:after="0"/>
      <w:ind w:hanging="0" w:start="0" w:end="0"/>
      <w:jc w:val="center"/>
    </w:pPr>
    <w:rPr>
      <w:rFonts w:cs="Arial"/>
      <w:bCs/>
      <w:kern w:val="0"/>
      <w:sz w:val="28"/>
      <w:szCs w:val="28"/>
    </w:rPr>
  </w:style>
  <w:style w:type="paragraph" w:styleId="Style32">
    <w:name w:val="Подподподпункт"/>
    <w:basedOn w:val="Normal"/>
    <w:qFormat/>
    <w:pPr>
      <w:tabs>
        <w:tab w:val="clear" w:pos="567"/>
        <w:tab w:val="left" w:pos="1134" w:leader="none"/>
        <w:tab w:val="left" w:pos="1701" w:leader="none"/>
        <w:tab w:val="left" w:pos="2448" w:leader="none"/>
      </w:tabs>
      <w:ind w:hanging="1008" w:start="2448" w:end="0"/>
    </w:pPr>
    <w:rPr/>
  </w:style>
  <w:style w:type="paragraph" w:styleId="12">
    <w:name w:val="Пункт1"/>
    <w:basedOn w:val="Normal"/>
    <w:qFormat/>
    <w:pPr>
      <w:numPr>
        <w:ilvl w:val="0"/>
        <w:numId w:val="5"/>
      </w:numPr>
      <w:spacing w:before="240" w:after="0"/>
      <w:jc w:val="center"/>
    </w:pPr>
    <w:rPr>
      <w:rFonts w:ascii="Arial" w:hAnsi="Arial" w:cs="Arial"/>
      <w:b/>
      <w:szCs w:val="28"/>
    </w:rPr>
  </w:style>
  <w:style w:type="paragraph" w:styleId="32">
    <w:name w:val="Основной текст с отступом 3"/>
    <w:basedOn w:val="Normal"/>
    <w:qFormat/>
    <w:pPr>
      <w:spacing w:lineRule="auto" w:line="240"/>
    </w:pPr>
    <w:rPr>
      <w:i/>
      <w:sz w:val="26"/>
      <w:szCs w:val="26"/>
    </w:rPr>
  </w:style>
  <w:style w:type="paragraph" w:styleId="Style33">
    <w:name w:val="Знак Знак Знак Знак Знак Знак"/>
    <w:basedOn w:val="Normal"/>
    <w:next w:val="Heading1"/>
    <w:qFormat/>
    <w:pPr>
      <w:spacing w:lineRule="exact" w:line="240" w:before="0" w:after="160"/>
      <w:ind w:hanging="0" w:start="0" w:end="0"/>
    </w:pPr>
    <w:rPr>
      <w:rFonts w:ascii="Verdana" w:hAnsi="Verdana" w:cs="Verdana"/>
      <w:sz w:val="20"/>
      <w:lang w:val="en-US"/>
    </w:rPr>
  </w:style>
  <w:style w:type="paragraph" w:styleId="DefaultParagraphFontParaCharChar">
    <w:name w:val="Default Paragraph Font Para Char Char Знак"/>
    <w:basedOn w:val="Normal"/>
    <w:qFormat/>
    <w:pPr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CharChar">
    <w:name w:val="Char Char Знак Знак Знак Знак"/>
    <w:basedOn w:val="Normal"/>
    <w:qFormat/>
    <w:pPr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Style34">
    <w:name w:val="Абзац списка"/>
    <w:basedOn w:val="Normal"/>
    <w:qFormat/>
    <w:pPr>
      <w:ind w:firstLine="567" w:start="708" w:end="0"/>
    </w:pPr>
    <w:rPr/>
  </w:style>
  <w:style w:type="paragraph" w:styleId="NormalWeb">
    <w:name w:val="Normal (Web)"/>
    <w:basedOn w:val="Normal"/>
    <w:qFormat/>
    <w:pPr>
      <w:spacing w:lineRule="auto" w:line="240" w:before="100" w:after="100"/>
      <w:ind w:hanging="0" w:start="0" w:end="0"/>
      <w:jc w:val="start"/>
    </w:pPr>
    <w:rPr>
      <w:sz w:val="20"/>
    </w:rPr>
  </w:style>
  <w:style w:type="paragraph" w:styleId="Style35">
    <w:name w:val="[Основной абзац]"/>
    <w:basedOn w:val="Normal"/>
    <w:qFormat/>
    <w:pPr>
      <w:widowControl w:val="false"/>
      <w:autoSpaceDE w:val="false"/>
      <w:spacing w:lineRule="auto" w:line="288"/>
      <w:ind w:hanging="0" w:start="0" w:end="0"/>
      <w:jc w:val="start"/>
      <w:textAlignment w:val="center"/>
    </w:pPr>
    <w:rPr>
      <w:rFonts w:ascii="MinionPro-Regular;Times New Roman" w:hAnsi="MinionPro-Regular;Times New Roman" w:eastAsia="Cambria" w:cs="MinionPro-Regular;Times New Roman"/>
      <w:color w:val="000000"/>
      <w:sz w:val="24"/>
      <w:szCs w:val="24"/>
    </w:rPr>
  </w:style>
  <w:style w:type="paragraph" w:styleId="Style36">
    <w:name w:val="Обычный (веб)"/>
    <w:basedOn w:val="Normal"/>
    <w:qFormat/>
    <w:pPr>
      <w:spacing w:lineRule="auto" w:line="240" w:before="100" w:after="100"/>
      <w:ind w:hanging="0" w:start="0" w:end="0"/>
      <w:jc w:val="start"/>
    </w:pPr>
    <w:rPr>
      <w:sz w:val="24"/>
      <w:szCs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://www.zakupki.gov.ru/" TargetMode="External"/><Relationship Id="rId4" Type="http://schemas.openxmlformats.org/officeDocument/2006/relationships/hyperlink" Target="http://www.tender.lot-online.ru/" TargetMode="External"/><Relationship Id="rId5" Type="http://schemas.openxmlformats.org/officeDocument/2006/relationships/hyperlink" Target="http://www.tender.lot-online.ru/" TargetMode="Externa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2021-08-03T11:01:00Z</dcterms:created>
  <dc:creator>С.Б.Дашков</dc:creator>
  <dc:description/>
  <cp:keywords/>
  <dc:language>en-US</dc:language>
  <cp:lastModifiedBy>Симчук Ольга Ивановна</cp:lastModifiedBy>
  <cp:lastPrinted>2025-02-26T14:07:00Z</cp:lastPrinted>
  <dcterms:modified xsi:type="dcterms:W3CDTF">2025-03-03T11:04:00Z</dcterms:modified>
  <cp:revision>143</cp:revision>
  <dc:subject/>
  <dc:title>Типовая закупочная документация</dc:title>
</cp:coreProperties>
</file>