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numPr>
          <w:ilvl w:val="0"/>
          <w:numId w:val="0"/>
        </w:numPr>
        <w:jc w:val="center"/>
        <w:outlineLvl w:val="0"/>
        <w:rPr>
          <w:sz w:val="22"/>
          <w:szCs w:val="22"/>
        </w:rPr>
      </w:pPr>
      <w:r>
        <w:rPr>
          <w:sz w:val="22"/>
          <w:szCs w:val="22"/>
        </w:rPr>
        <w:t>ПРОТОКОЛ № 2396</w:t>
      </w:r>
    </w:p>
    <w:p>
      <w:pPr>
        <w:pStyle w:val="Normal"/>
        <w:keepNext w:val="true"/>
        <w:jc w:val="center"/>
        <w:rPr>
          <w:sz w:val="22"/>
          <w:szCs w:val="22"/>
        </w:rPr>
      </w:pPr>
      <w:r>
        <w:rPr>
          <w:sz w:val="22"/>
          <w:szCs w:val="22"/>
        </w:rPr>
        <w:t>заседания Комиссии по осуществлению закупок</w:t>
      </w:r>
    </w:p>
    <w:p>
      <w:pPr>
        <w:pStyle w:val="Normal"/>
        <w:keepNext w:val="true"/>
        <w:jc w:val="center"/>
        <w:rPr/>
      </w:pPr>
      <w:r>
        <w:rPr>
          <w:sz w:val="22"/>
          <w:szCs w:val="22"/>
        </w:rPr>
        <w:t>Акционерного общества «Ленинградская областная тепло-энергетическая компания»</w:t>
      </w:r>
    </w:p>
    <w:p>
      <w:pPr>
        <w:pStyle w:val="Normal"/>
        <w:keepNext w:val="true"/>
        <w:jc w:val="center"/>
        <w:rPr>
          <w:sz w:val="22"/>
          <w:szCs w:val="22"/>
        </w:rPr>
      </w:pPr>
      <w:r>
        <w:rPr>
          <w:sz w:val="22"/>
          <w:szCs w:val="22"/>
        </w:rPr>
        <w:t>по рассмотрению единственной заявки и подведению итогов открытого конкурса</w:t>
      </w:r>
    </w:p>
    <w:p>
      <w:pPr>
        <w:pStyle w:val="Normal"/>
        <w:rPr>
          <w:b w:val="false"/>
          <w:sz w:val="22"/>
          <w:szCs w:val="22"/>
        </w:rPr>
      </w:pPr>
      <w:r>
        <w:rPr>
          <w:b w:val="false"/>
          <w:sz w:val="22"/>
          <w:szCs w:val="22"/>
        </w:rPr>
      </w:r>
    </w:p>
    <w:p>
      <w:pPr>
        <w:pStyle w:val="Normal"/>
        <w:tabs>
          <w:tab w:val="clear" w:pos="708"/>
          <w:tab w:val="left" w:pos="8100" w:leader="none"/>
        </w:tabs>
        <w:rPr>
          <w:b w:val="false"/>
          <w:sz w:val="22"/>
          <w:szCs w:val="22"/>
        </w:rPr>
      </w:pPr>
      <w:r>
        <w:rPr>
          <w:b w:val="false"/>
          <w:sz w:val="22"/>
          <w:szCs w:val="22"/>
        </w:rPr>
        <w:t>г. Санкт-Петербург                                                                                                           15 декабря 2025 года</w:t>
      </w:r>
    </w:p>
    <w:p>
      <w:pPr>
        <w:pStyle w:val="Normal"/>
        <w:rPr>
          <w:b w:val="false"/>
          <w:sz w:val="22"/>
          <w:szCs w:val="22"/>
        </w:rPr>
      </w:pPr>
      <w:r>
        <w:rPr>
          <w:b w:val="false"/>
          <w:sz w:val="22"/>
          <w:szCs w:val="22"/>
        </w:rPr>
      </w:r>
    </w:p>
    <w:p>
      <w:pPr>
        <w:pStyle w:val="Normal"/>
        <w:spacing w:lineRule="auto" w:line="360"/>
        <w:ind w:firstLine="708" w:end="0"/>
        <w:jc w:val="both"/>
        <w:rPr/>
      </w:pPr>
      <w:r>
        <w:rPr>
          <w:b w:val="false"/>
          <w:sz w:val="22"/>
          <w:szCs w:val="22"/>
        </w:rPr>
        <w:t xml:space="preserve">На </w:t>
      </w:r>
      <w:r>
        <w:rPr>
          <w:b w:val="false"/>
          <w:color w:val="000000"/>
          <w:sz w:val="22"/>
          <w:szCs w:val="22"/>
        </w:rPr>
        <w:t xml:space="preserve">заседании Комиссии </w:t>
      </w:r>
      <w:r>
        <w:rPr>
          <w:b w:val="false"/>
          <w:sz w:val="22"/>
          <w:szCs w:val="22"/>
        </w:rPr>
        <w:t>по осуществлению закупок</w:t>
      </w:r>
      <w:r>
        <w:rPr>
          <w:sz w:val="22"/>
          <w:szCs w:val="22"/>
        </w:rPr>
        <w:t xml:space="preserve"> </w:t>
      </w:r>
      <w:r>
        <w:rPr>
          <w:b w:val="false"/>
          <w:color w:val="000000"/>
          <w:sz w:val="22"/>
          <w:szCs w:val="22"/>
        </w:rPr>
        <w:t>АО «ЛОТЭК» (далее – Комиссия) присутствуют:</w:t>
      </w:r>
    </w:p>
    <w:p>
      <w:pPr>
        <w:pStyle w:val="Normal"/>
        <w:spacing w:lineRule="auto" w:line="360"/>
        <w:jc w:val="center"/>
        <w:rPr>
          <w:b w:val="false"/>
          <w:sz w:val="22"/>
          <w:szCs w:val="22"/>
        </w:rPr>
      </w:pPr>
      <w:r>
        <w:rPr>
          <w:b w:val="false"/>
          <w:sz w:val="22"/>
          <w:szCs w:val="22"/>
        </w:rPr>
        <w:t>Конфиденциальная информация – Федеральный закон от 27.07.2006 г.</w:t>
      </w:r>
    </w:p>
    <w:p>
      <w:pPr>
        <w:pStyle w:val="Normal"/>
        <w:spacing w:lineRule="auto" w:line="360"/>
        <w:jc w:val="center"/>
        <w:rPr>
          <w:b w:val="false"/>
          <w:sz w:val="22"/>
          <w:szCs w:val="22"/>
        </w:rPr>
      </w:pPr>
      <w:r>
        <w:rPr>
          <w:b w:val="false"/>
          <w:sz w:val="22"/>
          <w:szCs w:val="22"/>
        </w:rPr>
        <w:t xml:space="preserve"> № </w:t>
      </w:r>
      <w:r>
        <w:rPr>
          <w:b w:val="false"/>
          <w:sz w:val="22"/>
          <w:szCs w:val="22"/>
        </w:rPr>
        <w:t>152-ФЗ «О персональных данных»</w:t>
      </w:r>
    </w:p>
    <w:p>
      <w:pPr>
        <w:pStyle w:val="Normal"/>
        <w:spacing w:lineRule="auto" w:line="360"/>
        <w:jc w:val="both"/>
        <w:rPr>
          <w:b w:val="false"/>
          <w:color w:val="000000"/>
          <w:sz w:val="22"/>
          <w:szCs w:val="22"/>
        </w:rPr>
      </w:pPr>
      <w:r>
        <w:rPr>
          <w:b w:val="false"/>
          <w:color w:val="000000"/>
          <w:sz w:val="22"/>
          <w:szCs w:val="22"/>
        </w:rPr>
        <w:t xml:space="preserve">Кворум для проведения заседания имеется. </w:t>
      </w:r>
    </w:p>
    <w:p>
      <w:pPr>
        <w:pStyle w:val="Normal"/>
        <w:spacing w:lineRule="auto" w:line="360"/>
        <w:jc w:val="both"/>
        <w:rPr>
          <w:b w:val="false"/>
          <w:color w:val="000000"/>
          <w:sz w:val="22"/>
          <w:szCs w:val="22"/>
        </w:rPr>
      </w:pPr>
      <w:r>
        <w:rPr>
          <w:b w:val="false"/>
          <w:color w:val="000000"/>
          <w:sz w:val="22"/>
          <w:szCs w:val="22"/>
        </w:rPr>
      </w:r>
    </w:p>
    <w:p>
      <w:pPr>
        <w:pStyle w:val="Normal"/>
        <w:spacing w:lineRule="auto" w:line="360"/>
        <w:ind w:firstLine="708" w:end="0"/>
        <w:jc w:val="both"/>
        <w:rPr>
          <w:sz w:val="22"/>
          <w:szCs w:val="22"/>
        </w:rPr>
      </w:pPr>
      <w:r>
        <w:rPr>
          <w:sz w:val="22"/>
          <w:szCs w:val="22"/>
        </w:rPr>
        <w:t>Повестка дня:</w:t>
      </w:r>
    </w:p>
    <w:p>
      <w:pPr>
        <w:pStyle w:val="Normal"/>
        <w:spacing w:lineRule="auto" w:line="360"/>
        <w:ind w:firstLine="708" w:end="0"/>
        <w:jc w:val="both"/>
        <w:rPr/>
      </w:pPr>
      <w:r>
        <w:rPr>
          <w:b w:val="false"/>
          <w:sz w:val="22"/>
          <w:szCs w:val="22"/>
        </w:rPr>
        <w:t>- рассмотрение единственной поданной заявки на участие в открытом конкурсе, подведение итогов проведения закупки.</w:t>
      </w:r>
    </w:p>
    <w:p>
      <w:pPr>
        <w:pStyle w:val="Normal"/>
        <w:spacing w:lineRule="auto" w:line="360"/>
        <w:ind w:firstLine="708" w:end="0"/>
        <w:jc w:val="both"/>
        <w:rPr>
          <w:b w:val="false"/>
          <w:sz w:val="22"/>
          <w:szCs w:val="22"/>
        </w:rPr>
      </w:pPr>
      <w:r>
        <w:rPr>
          <w:b w:val="false"/>
          <w:sz w:val="22"/>
          <w:szCs w:val="22"/>
        </w:rPr>
        <w:t xml:space="preserve">Извещение № 2268/З/11-25 о проведении закупки Акционерным обществом «Ленинградская областная тепло-энергетическая компания» в форме открытого конкурса было размещено в сети Интернет на сайте </w:t>
      </w:r>
      <w:r>
        <w:rPr>
          <w:b w:val="false"/>
          <w:sz w:val="22"/>
          <w:szCs w:val="22"/>
          <w:lang w:val="en-US"/>
        </w:rPr>
        <w:t>www</w:t>
      </w:r>
      <w:r>
        <w:rPr>
          <w:b w:val="false"/>
          <w:sz w:val="22"/>
          <w:szCs w:val="22"/>
        </w:rPr>
        <w:t>.</w:t>
      </w:r>
      <w:r>
        <w:rPr>
          <w:b w:val="false"/>
          <w:sz w:val="22"/>
          <w:szCs w:val="22"/>
          <w:lang w:val="en-US"/>
        </w:rPr>
        <w:t>zakupki</w:t>
      </w:r>
      <w:r>
        <w:rPr>
          <w:b w:val="false"/>
          <w:sz w:val="22"/>
          <w:szCs w:val="22"/>
        </w:rPr>
        <w:t>.</w:t>
      </w:r>
      <w:r>
        <w:rPr>
          <w:b w:val="false"/>
          <w:sz w:val="22"/>
          <w:szCs w:val="22"/>
          <w:lang w:val="en-US"/>
        </w:rPr>
        <w:t>gov</w:t>
      </w:r>
      <w:r>
        <w:rPr>
          <w:b w:val="false"/>
          <w:sz w:val="22"/>
          <w:szCs w:val="22"/>
        </w:rPr>
        <w:t>.</w:t>
      </w:r>
      <w:r>
        <w:rPr>
          <w:b w:val="false"/>
          <w:sz w:val="22"/>
          <w:szCs w:val="22"/>
          <w:lang w:val="en-US"/>
        </w:rPr>
        <w:t>ru</w:t>
      </w:r>
      <w:r>
        <w:rPr>
          <w:b w:val="false"/>
          <w:sz w:val="22"/>
          <w:szCs w:val="22"/>
        </w:rPr>
        <w:t xml:space="preserve"> 28 ноября 2025 года.</w:t>
      </w:r>
    </w:p>
    <w:p>
      <w:pPr>
        <w:pStyle w:val="Normal"/>
        <w:spacing w:lineRule="auto" w:line="360"/>
        <w:ind w:firstLine="708" w:end="0"/>
        <w:jc w:val="both"/>
        <w:rPr>
          <w:b w:val="false"/>
          <w:sz w:val="22"/>
          <w:szCs w:val="22"/>
        </w:rPr>
      </w:pPr>
      <w:r>
        <w:rPr>
          <w:b w:val="false"/>
          <w:sz w:val="22"/>
          <w:szCs w:val="22"/>
        </w:rPr>
        <w:t>Процедура рассмотрения заявок на участие в открытом конкурсе проведена 15 декабря 2025 года в 12 часов 30 минут по московскому времени по адресу: 192171, г. Санкт-Петербург, ул. Седова, д. 57.</w:t>
      </w:r>
    </w:p>
    <w:p>
      <w:pPr>
        <w:pStyle w:val="Normal"/>
        <w:spacing w:lineRule="auto" w:line="360"/>
        <w:ind w:firstLine="708" w:end="0"/>
        <w:jc w:val="both"/>
        <w:rPr/>
      </w:pPr>
      <w:r>
        <w:rPr>
          <w:b w:val="false"/>
          <w:sz w:val="22"/>
          <w:szCs w:val="22"/>
        </w:rPr>
        <w:t xml:space="preserve">Все заявки, представленные для участия в открытом конкурсе согласно Извещению № 2268/З/11-25 от 28 ноября 2025 года (предмет закупки - Предоставление по поручению и за счет Заказчика, являющегося ресурсоснабжающей организацией (РСО), услуг по осуществлению расчетов (начислению) платы за коммунальные услуги (отопление и горячее водоснабжение), формированию и печати счета по каждому лицевому счету с указанием реквизитов  Исполнителя как получателя платежа и реквизитов Заказчика как исполнителя коммунальных услуг, начислению пени, доставке Счетов, выгрузке необходимой информации ежемесячно в </w:t>
      </w:r>
      <w:r>
        <w:rPr>
          <w:b w:val="false"/>
          <w:bCs/>
          <w:sz w:val="22"/>
          <w:szCs w:val="22"/>
        </w:rPr>
        <w:t>государственную информационную систему жилищно-коммунального хозяйства</w:t>
      </w:r>
      <w:r>
        <w:rPr>
          <w:b w:val="false"/>
          <w:sz w:val="22"/>
          <w:szCs w:val="22"/>
        </w:rPr>
        <w:t xml:space="preserve"> (ГИС ЖКХ), в частности, Счетов по начисленным коммунальным услугам отопление и горячее водоснабжение, приёму и дальнейшему надлежащему перечислению денежных средств по распоряжению Заказчика, поступивших от плательщиков за оказанные Заказчиком коммунальные услуги, ежемесячной актуализации базы данных Плательщиков, необходимой для произведения расчетов за коммунальные услуги, осуществлению действий по обработке информации, предоставленной Заказчиком, автоматизированным способом с использованием программных средств Исполнителя (АСОИ), осуществлению информационного обмена с органами по социальной защите населения и расчету ежемесячной денежной компенсации части расходов на оплату  коммунальных услуг отдельным категориям граждан, проживающих в Многоквартирных домах г. Кингисепп и пос. Усть-Луга Кингисеппского муниципального района Ленинградской области, в порядке, установленном действующим законодательством в объеме 36 месяцев;</w:t>
      </w:r>
    </w:p>
    <w:p>
      <w:pPr>
        <w:pStyle w:val="Normal"/>
        <w:spacing w:lineRule="auto" w:line="360"/>
        <w:ind w:firstLine="708" w:end="0"/>
        <w:jc w:val="both"/>
        <w:rPr/>
      </w:pPr>
      <w:r>
        <w:rPr>
          <w:b w:val="false"/>
          <w:sz w:val="22"/>
          <w:szCs w:val="22"/>
        </w:rPr>
        <w:t xml:space="preserve">  </w:t>
      </w:r>
      <w:r>
        <w:rPr>
          <w:b w:val="false"/>
          <w:sz w:val="22"/>
          <w:szCs w:val="22"/>
        </w:rPr>
        <w:t xml:space="preserve">начальная (максимальная) цена закупки – 52 830 383,76 (Пятьдесят два миллиона восемьсот тридцать тысяч триста восемьдесят три) рубля 76 копеек; </w:t>
      </w:r>
    </w:p>
    <w:p>
      <w:pPr>
        <w:pStyle w:val="Default"/>
        <w:spacing w:lineRule="auto" w:line="360" w:before="60" w:after="0"/>
        <w:ind w:start="284" w:end="0"/>
        <w:jc w:val="both"/>
        <w:rPr/>
      </w:pPr>
      <w:r>
        <w:rPr>
          <w:rFonts w:eastAsia="Calibri"/>
          <w:sz w:val="22"/>
          <w:szCs w:val="22"/>
          <w:lang w:eastAsia="ru-RU"/>
        </w:rPr>
        <w:t xml:space="preserve">начальное (максимальное) значение </w:t>
      </w:r>
      <w:r>
        <w:rPr>
          <w:sz w:val="22"/>
          <w:szCs w:val="22"/>
        </w:rPr>
        <w:t xml:space="preserve">Агентского вознаграждения за осуществление услуг в рамках     договора: </w:t>
      </w:r>
      <w:r>
        <w:rPr>
          <w:color w:val="000000"/>
          <w:sz w:val="22"/>
          <w:szCs w:val="22"/>
        </w:rPr>
        <w:t>1,55 % в месяц от суммы, начисленной Плательщикам в отчетном месяце, без учета НДС;</w:t>
      </w:r>
    </w:p>
    <w:p>
      <w:pPr>
        <w:pStyle w:val="BodyText"/>
        <w:spacing w:lineRule="auto" w:line="360" w:before="0" w:after="0"/>
        <w:ind w:hanging="284" w:start="284" w:end="0"/>
        <w:jc w:val="both"/>
        <w:rPr/>
      </w:pPr>
      <w:r>
        <w:rPr>
          <w:sz w:val="22"/>
          <w:szCs w:val="22"/>
        </w:rPr>
        <w:t xml:space="preserve">     </w:t>
      </w:r>
      <w:r>
        <w:rPr>
          <w:sz w:val="22"/>
          <w:szCs w:val="22"/>
        </w:rPr>
        <w:t xml:space="preserve">место оказания услуг: </w:t>
      </w:r>
      <w:r>
        <w:rPr>
          <w:rFonts w:cs="Times New Roman"/>
          <w:bCs/>
          <w:sz w:val="22"/>
          <w:szCs w:val="22"/>
        </w:rPr>
        <w:t>Л</w:t>
      </w:r>
      <w:r>
        <w:rPr>
          <w:rFonts w:cs="Times New Roman"/>
          <w:sz w:val="22"/>
          <w:szCs w:val="22"/>
        </w:rPr>
        <w:t>енинградская область, Кингисеппский муниципальный район Ленинградской   области</w:t>
      </w:r>
      <w:r>
        <w:rPr>
          <w:sz w:val="22"/>
          <w:szCs w:val="22"/>
        </w:rPr>
        <w:t xml:space="preserve">; </w:t>
      </w:r>
    </w:p>
    <w:p>
      <w:pPr>
        <w:pStyle w:val="Style15"/>
        <w:spacing w:lineRule="auto" w:line="360"/>
        <w:ind w:start="284" w:end="0"/>
        <w:jc w:val="both"/>
        <w:rPr>
          <w:rFonts w:ascii="Times New Roman" w:hAnsi="Times New Roman" w:cs="Times New Roman"/>
          <w:sz w:val="22"/>
          <w:szCs w:val="22"/>
        </w:rPr>
      </w:pPr>
      <w:r>
        <w:rPr>
          <w:rFonts w:cs="Times New Roman" w:ascii="Times New Roman" w:hAnsi="Times New Roman"/>
          <w:sz w:val="22"/>
          <w:szCs w:val="22"/>
        </w:rPr>
        <w:t xml:space="preserve">сроки оплаты услуг – в срок не позднее 25-го числа месяца, следующего за отчетным на основании выставленного счета и акта об оказании услуг/УПД; </w:t>
      </w:r>
      <w:r>
        <w:rPr>
          <w:rFonts w:cs="Times New Roman" w:ascii="Times New Roman" w:hAnsi="Times New Roman"/>
          <w:i/>
          <w:sz w:val="22"/>
          <w:szCs w:val="22"/>
          <w:lang w:val="en-US" w:eastAsia="en-US"/>
        </w:rPr>
        <w:t xml:space="preserve">Срок оплаты услуг для договоров, заключаемых с субъектами малого и среднего предпринимательства: </w:t>
      </w:r>
      <w:r>
        <w:rPr>
          <w:rFonts w:cs="Times New Roman" w:ascii="Times New Roman" w:hAnsi="Times New Roman"/>
          <w:sz w:val="22"/>
          <w:szCs w:val="22"/>
        </w:rPr>
        <w:t>в течение 7 (семи) рабочих дней с момента подписания Заказчиком Акта об оказании услуг/УПД;</w:t>
      </w:r>
    </w:p>
    <w:p>
      <w:pPr>
        <w:pStyle w:val="Normal"/>
        <w:widowControl/>
        <w:tabs>
          <w:tab w:val="clear" w:pos="708"/>
          <w:tab w:val="right" w:pos="9355" w:leader="none"/>
        </w:tabs>
        <w:spacing w:lineRule="auto" w:line="360"/>
        <w:jc w:val="both"/>
        <w:rPr>
          <w:b w:val="false"/>
          <w:sz w:val="22"/>
          <w:szCs w:val="22"/>
        </w:rPr>
      </w:pPr>
      <w:r>
        <w:rPr>
          <w:sz w:val="22"/>
          <w:szCs w:val="22"/>
        </w:rPr>
        <w:t xml:space="preserve">     </w:t>
      </w:r>
      <w:r>
        <w:rPr>
          <w:b w:val="false"/>
          <w:sz w:val="22"/>
          <w:szCs w:val="22"/>
        </w:rPr>
        <w:t xml:space="preserve">сроки оказания услуг: </w:t>
      </w:r>
      <w:r>
        <w:rPr>
          <w:b w:val="false"/>
          <w:sz w:val="22"/>
          <w:szCs w:val="22"/>
          <w:lang w:eastAsia="en-US"/>
        </w:rPr>
        <w:t xml:space="preserve">начало - с даты подписания Договора, окончание – 31 января 2029 г.) </w:t>
      </w:r>
      <w:r>
        <w:rPr>
          <w:b w:val="false"/>
          <w:sz w:val="22"/>
          <w:szCs w:val="22"/>
        </w:rPr>
        <w:t>были зарегистрированы в Журнале регистрации заявок для участия в закупке, проводимой Акционерным обществом «Ленинградская областная тепло-энергетическая компания» в порядке их поступления.</w:t>
      </w:r>
    </w:p>
    <w:p>
      <w:pPr>
        <w:pStyle w:val="Normal"/>
        <w:widowControl/>
        <w:tabs>
          <w:tab w:val="clear" w:pos="708"/>
          <w:tab w:val="right" w:pos="9355" w:leader="none"/>
        </w:tabs>
        <w:jc w:val="both"/>
        <w:rPr>
          <w:b w:val="false"/>
          <w:sz w:val="22"/>
          <w:szCs w:val="22"/>
        </w:rPr>
      </w:pPr>
      <w:r>
        <w:rPr>
          <w:b w:val="false"/>
          <w:sz w:val="22"/>
          <w:szCs w:val="22"/>
        </w:rPr>
      </w:r>
    </w:p>
    <w:p>
      <w:pPr>
        <w:pStyle w:val="Normal"/>
        <w:spacing w:lineRule="auto" w:line="360"/>
        <w:jc w:val="both"/>
        <w:rPr>
          <w:b w:val="false"/>
          <w:sz w:val="22"/>
          <w:szCs w:val="22"/>
        </w:rPr>
      </w:pPr>
      <w:r>
        <w:rPr>
          <w:b w:val="false"/>
          <w:sz w:val="22"/>
          <w:szCs w:val="22"/>
        </w:rPr>
        <w:t>К сроку окончания подачи заявок на участие в открытом конкурсе была предоставлена (подана) 01 (Одна) заявка:</w:t>
      </w:r>
    </w:p>
    <w:p>
      <w:pPr>
        <w:pStyle w:val="Normal"/>
        <w:spacing w:lineRule="auto" w:line="360"/>
        <w:jc w:val="both"/>
        <w:rPr>
          <w:b w:val="false"/>
          <w:sz w:val="22"/>
          <w:szCs w:val="22"/>
        </w:rPr>
      </w:pPr>
      <w:r>
        <w:rPr>
          <w:b w:val="false"/>
          <w:sz w:val="22"/>
          <w:szCs w:val="22"/>
        </w:rPr>
      </w:r>
    </w:p>
    <w:p>
      <w:pPr>
        <w:pStyle w:val="Normal"/>
        <w:spacing w:lineRule="auto" w:line="360"/>
        <w:jc w:val="both"/>
        <w:rPr/>
      </w:pPr>
      <w:r>
        <w:rPr>
          <w:b w:val="false"/>
          <w:sz w:val="22"/>
          <w:szCs w:val="22"/>
        </w:rPr>
        <w:t>Регистрационный (порядковый) номер: №01</w:t>
      </w:r>
    </w:p>
    <w:p>
      <w:pPr>
        <w:pStyle w:val="Normal"/>
        <w:spacing w:lineRule="auto" w:line="360"/>
        <w:jc w:val="both"/>
        <w:rPr>
          <w:b w:val="false"/>
          <w:sz w:val="22"/>
          <w:szCs w:val="22"/>
        </w:rPr>
      </w:pPr>
      <w:r>
        <w:rPr>
          <w:b w:val="false"/>
          <w:sz w:val="22"/>
          <w:szCs w:val="22"/>
        </w:rPr>
        <w:t>Время и дата регистрации заявки: 12 декабря 2025г. 11 часов 45 минут по московскому времени.</w:t>
      </w:r>
    </w:p>
    <w:p>
      <w:pPr>
        <w:pStyle w:val="Normal"/>
        <w:spacing w:lineRule="auto" w:line="360"/>
        <w:jc w:val="both"/>
        <w:rPr/>
      </w:pPr>
      <w:r>
        <w:rPr>
          <w:b w:val="false"/>
          <w:sz w:val="22"/>
          <w:szCs w:val="22"/>
        </w:rPr>
        <w:t>Предложение участника о цене: 52 830 383,76 (Пятьдесят два миллиона восемьсот тридцать тысяч триста восемьдесят три) рубля 76 копеек.</w:t>
      </w:r>
    </w:p>
    <w:p>
      <w:pPr>
        <w:pStyle w:val="Normal"/>
        <w:spacing w:lineRule="auto" w:line="360"/>
        <w:jc w:val="both"/>
        <w:rPr>
          <w:b w:val="false"/>
          <w:sz w:val="22"/>
          <w:szCs w:val="22"/>
        </w:rPr>
      </w:pPr>
      <w:r>
        <w:rPr>
          <w:b w:val="false"/>
          <w:sz w:val="22"/>
          <w:szCs w:val="22"/>
        </w:rPr>
        <w:t>Агентское вознаграждение за осуществление услуг в рамках договора составляет 1,55 % в месяц от суммы, начисленной Плательщикам в отчетном месяце, без учета НДС.</w:t>
      </w:r>
    </w:p>
    <w:p>
      <w:pPr>
        <w:pStyle w:val="Normal"/>
        <w:spacing w:lineRule="auto" w:line="360"/>
        <w:jc w:val="both"/>
        <w:rPr/>
      </w:pPr>
      <w:r>
        <w:rPr>
          <w:b w:val="false"/>
          <w:sz w:val="22"/>
          <w:szCs w:val="22"/>
        </w:rPr>
        <w:t>Опыт оказания услуг по начислению и приему населения по вопросам начисления – 144 месяцев.</w:t>
      </w:r>
    </w:p>
    <w:p>
      <w:pPr>
        <w:pStyle w:val="Normal"/>
        <w:spacing w:lineRule="auto" w:line="360"/>
        <w:jc w:val="both"/>
        <w:rPr/>
      </w:pPr>
      <w:r>
        <w:rPr>
          <w:b w:val="false"/>
          <w:sz w:val="22"/>
          <w:szCs w:val="22"/>
        </w:rPr>
        <w:t>Опыт промышленной эксплуатации программного продукта, с помощью которого осуществляется начисление платы за коммунальную услугу - 144 месяцев.</w:t>
      </w:r>
    </w:p>
    <w:p>
      <w:pPr>
        <w:pStyle w:val="Normal"/>
        <w:spacing w:lineRule="auto" w:line="360"/>
        <w:jc w:val="both"/>
        <w:rPr>
          <w:b w:val="false"/>
          <w:sz w:val="22"/>
          <w:szCs w:val="22"/>
        </w:rPr>
      </w:pPr>
      <w:r>
        <w:rPr>
          <w:b w:val="false"/>
          <w:color w:val="000000"/>
          <w:sz w:val="22"/>
          <w:szCs w:val="22"/>
        </w:rPr>
        <w:t xml:space="preserve">Количество </w:t>
      </w:r>
      <w:r>
        <w:rPr>
          <w:b w:val="false"/>
          <w:sz w:val="22"/>
          <w:szCs w:val="22"/>
        </w:rPr>
        <w:t>пунктов по приему населения по вопросам начисления платежей в г Кингисепп Кингисеппского района Ленинградской области: 2 штуки.</w:t>
      </w:r>
    </w:p>
    <w:p>
      <w:pPr>
        <w:pStyle w:val="Normal"/>
        <w:spacing w:lineRule="auto" w:line="360"/>
        <w:jc w:val="both"/>
        <w:rPr/>
      </w:pPr>
      <w:r>
        <w:rPr>
          <w:b w:val="false"/>
          <w:color w:val="000000"/>
          <w:sz w:val="22"/>
          <w:szCs w:val="22"/>
        </w:rPr>
        <w:t xml:space="preserve">Количество </w:t>
      </w:r>
      <w:r>
        <w:rPr>
          <w:b w:val="false"/>
          <w:sz w:val="22"/>
          <w:szCs w:val="22"/>
        </w:rPr>
        <w:t>обслуживаемых лицевых счетов в части начисления платы за жилищно-коммунальные услуги: 1 539 409 штук.</w:t>
      </w:r>
    </w:p>
    <w:p>
      <w:pPr>
        <w:pStyle w:val="Normal"/>
        <w:spacing w:lineRule="auto" w:line="360"/>
        <w:jc w:val="both"/>
        <w:rPr>
          <w:b w:val="false"/>
          <w:sz w:val="22"/>
          <w:szCs w:val="22"/>
        </w:rPr>
      </w:pPr>
      <w:r>
        <w:rPr>
          <w:b w:val="false"/>
          <w:sz w:val="22"/>
          <w:szCs w:val="22"/>
        </w:rPr>
        <w:t>Комиссия рассмотрела единственную поданную заявку на участие в открытом конкурсе на соответствие требованиям, установленным в документации о проведении открытого конкурса, и приняла на основании полученных результатов следующие решения:</w:t>
      </w:r>
    </w:p>
    <w:p>
      <w:pPr>
        <w:pStyle w:val="Normal"/>
        <w:spacing w:lineRule="auto" w:line="360"/>
        <w:jc w:val="both"/>
        <w:rPr>
          <w:b w:val="false"/>
          <w:sz w:val="22"/>
          <w:szCs w:val="22"/>
        </w:rPr>
      </w:pPr>
      <w:r>
        <w:rPr>
          <w:b w:val="false"/>
          <w:sz w:val="22"/>
          <w:szCs w:val="22"/>
        </w:rPr>
      </w:r>
    </w:p>
    <w:p>
      <w:pPr>
        <w:pStyle w:val="Normal"/>
        <w:spacing w:lineRule="auto" w:line="360"/>
        <w:jc w:val="both"/>
        <w:rPr/>
      </w:pPr>
      <w:r>
        <w:rPr>
          <w:b w:val="false"/>
          <w:sz w:val="22"/>
          <w:szCs w:val="22"/>
        </w:rPr>
        <w:t xml:space="preserve">1) признать процедуру закупки в соответствии с п. 8.6.8 Положения о закупках Акционерного общества «Ленинградская областная тепло-энергетическая компания» (редакция 2), а именно: открытый конкурс согласно Извещению № 2268/З/11-25, несостоявшейся в связи с тем, что на участие в закупке подана только одна заявка. </w:t>
      </w:r>
    </w:p>
    <w:p>
      <w:pPr>
        <w:pStyle w:val="Normal"/>
        <w:spacing w:lineRule="auto" w:line="360"/>
        <w:jc w:val="both"/>
        <w:rPr>
          <w:b w:val="false"/>
          <w:sz w:val="22"/>
          <w:szCs w:val="22"/>
          <w:highlight w:val="yellow"/>
        </w:rPr>
      </w:pPr>
      <w:r>
        <w:rPr>
          <w:b w:val="false"/>
          <w:sz w:val="22"/>
          <w:szCs w:val="22"/>
        </w:rPr>
        <w:t>2)   признать заявку № 01 соответствующей требованиям и условиям, установленным в документации по проведению открытого конкурса (количество отклоненных заявок: 0 штук).</w:t>
      </w:r>
    </w:p>
    <w:p>
      <w:pPr>
        <w:pStyle w:val="Normal"/>
        <w:spacing w:lineRule="auto" w:line="360"/>
        <w:jc w:val="center"/>
        <w:rPr/>
      </w:pPr>
      <w:r>
        <w:rPr>
          <w:b w:val="false"/>
          <w:color w:val="000000"/>
          <w:sz w:val="22"/>
          <w:szCs w:val="22"/>
        </w:rPr>
        <w:t xml:space="preserve">Члены Комиссии: </w:t>
      </w:r>
      <w:r>
        <w:rPr>
          <w:b w:val="false"/>
          <w:sz w:val="22"/>
          <w:szCs w:val="22"/>
        </w:rPr>
        <w:t>Конфиденциальная информация – Федеральный закон от 27.07.2006 г.</w:t>
      </w:r>
    </w:p>
    <w:p>
      <w:pPr>
        <w:pStyle w:val="Normal"/>
        <w:spacing w:lineRule="auto" w:line="360"/>
        <w:jc w:val="center"/>
        <w:rPr>
          <w:b w:val="false"/>
          <w:sz w:val="22"/>
          <w:szCs w:val="22"/>
        </w:rPr>
      </w:pPr>
      <w:r>
        <w:rPr>
          <w:b w:val="false"/>
          <w:sz w:val="22"/>
          <w:szCs w:val="22"/>
        </w:rPr>
        <w:t xml:space="preserve"> № </w:t>
      </w:r>
      <w:r>
        <w:rPr>
          <w:b w:val="false"/>
          <w:sz w:val="22"/>
          <w:szCs w:val="22"/>
        </w:rPr>
        <w:t>152-ФЗ «О персональных данных»</w:t>
      </w:r>
    </w:p>
    <w:p>
      <w:pPr>
        <w:pStyle w:val="Normal"/>
        <w:ind w:start="1080" w:end="0"/>
        <w:jc w:val="both"/>
        <w:rPr>
          <w:b w:val="false"/>
          <w:sz w:val="22"/>
          <w:szCs w:val="22"/>
        </w:rPr>
      </w:pPr>
      <w:r>
        <w:rPr>
          <w:b w:val="false"/>
          <w:sz w:val="22"/>
          <w:szCs w:val="22"/>
        </w:rPr>
        <w:t>Дата подписания протокола 15 декабря 2025 года</w:t>
      </w:r>
    </w:p>
    <w:sectPr>
      <w:type w:val="nextPage"/>
      <w:pgSz w:w="11906" w:h="16838"/>
      <w:pgMar w:left="900" w:right="1133" w:gutter="0" w:header="0" w:top="567" w:footer="0" w:bottom="5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mbria">
    <w:charset w:val="cc" w:characterSet="windows-1251"/>
    <w:family w:val="roman"/>
    <w:pitch w:val="variable"/>
  </w:font>
  <w:font w:name="Liberation Sans">
    <w:altName w:val="Arial"/>
    <w:charset w:val="01" w:characterSet="utf-8"/>
    <w:family w:val="swiss"/>
    <w:pitch w:val="variable"/>
  </w:font>
  <w:font w:name="Tahoma">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w:lvlJc w:val="start"/>
      <w:pPr>
        <w:tabs>
          <w:tab w:val="num" w:pos="0"/>
        </w:tabs>
        <w:ind w:start="4131" w:hanging="171"/>
      </w:pPr>
      <w:rPr>
        <w:sz w:val="28"/>
        <w:i w:val="false"/>
        <w:u w:val="none"/>
        <w:b/>
        <w:szCs w:val="28"/>
        <w:rFonts w:ascii="Times New Roman" w:hAnsi="Times New Roman" w:cs="Times New Roman"/>
        <w:color w:val="000000"/>
      </w:rPr>
    </w:lvl>
    <w:lvl w:ilvl="1">
      <w:start w:val="1"/>
      <w:pStyle w:val="Heading2"/>
      <w:numFmt w:val="decimal"/>
      <w:lvlText w:val="%1.%2"/>
      <w:lvlJc w:val="start"/>
      <w:pPr>
        <w:tabs>
          <w:tab w:val="num" w:pos="1494"/>
        </w:tabs>
        <w:ind w:start="360" w:firstLine="720"/>
      </w:pPr>
      <w:rPr>
        <w:sz w:val="24"/>
        <w:i w:val="false"/>
        <w:u w:val="none"/>
        <w:b w:val="false"/>
        <w:szCs w:val="24"/>
        <w:bCs/>
        <w:rFonts w:ascii="Times New Roman" w:hAnsi="Times New Roman" w:cs="Times New Roman"/>
        <w:color w:val="000000"/>
      </w:rPr>
    </w:lvl>
    <w:lvl w:ilvl="2">
      <w:start w:val="1"/>
      <w:numFmt w:val="decimal"/>
      <w:lvlText w:val="%1.%2.%3"/>
      <w:lvlJc w:val="start"/>
      <w:pPr>
        <w:tabs>
          <w:tab w:val="num" w:pos="1834"/>
        </w:tabs>
        <w:ind w:start="360" w:firstLine="720"/>
      </w:pPr>
      <w:rPr>
        <w:sz w:val="24"/>
        <w:i w:val="false"/>
        <w:u w:val="none"/>
        <w:b w:val="false"/>
        <w:szCs w:val="24"/>
        <w:rFonts w:ascii="Times New Roman" w:hAnsi="Times New Roman" w:cs="Times New Roman"/>
        <w:color w:val="000000"/>
      </w:rPr>
    </w:lvl>
    <w:lvl w:ilvl="3">
      <w:start w:val="1"/>
      <w:pStyle w:val="Heading4"/>
      <w:numFmt w:val="decimal"/>
      <w:lvlText w:val="%1.%2.%3.%4"/>
      <w:lvlJc w:val="start"/>
      <w:pPr>
        <w:tabs>
          <w:tab w:val="num" w:pos="2138"/>
        </w:tabs>
        <w:ind w:start="720" w:firstLine="720"/>
      </w:pPr>
      <w:rPr>
        <w:sz w:val="24"/>
        <w:i w:val="false"/>
        <w:u w:val="none"/>
        <w:b/>
        <w:szCs w:val="24"/>
        <w:rFonts w:ascii="Arial" w:hAnsi="Arial" w:cs="Times New Roman"/>
        <w:color w:val="000000"/>
      </w:rPr>
    </w:lvl>
    <w:lvl w:ilvl="4">
      <w:start w:val="1"/>
      <w:pStyle w:val="Heading5"/>
      <w:numFmt w:val="russianUpper"/>
      <w:suff w:val="space"/>
      <w:lvlText w:val="Приложение %5"/>
      <w:lvlJc w:val="center"/>
      <w:pPr>
        <w:tabs>
          <w:tab w:val="num" w:pos="0"/>
        </w:tabs>
        <w:ind w:start="0" w:firstLine="1134"/>
      </w:pPr>
      <w:rPr>
        <w:sz w:val="32"/>
        <w:i w:val="false"/>
        <w:u w:val="none"/>
        <w:b/>
        <w:szCs w:val="32"/>
        <w:rFonts w:ascii="Times New Roman" w:hAnsi="Times New Roman" w:cs="Times New Roman"/>
        <w:color w:val="000000"/>
      </w:rPr>
    </w:lvl>
    <w:lvl w:ilvl="5">
      <w:start w:val="1"/>
      <w:pStyle w:val="Heading6"/>
      <w:numFmt w:val="decimal"/>
      <w:lvlText w:val="%1.%2.%3.%4.%5.%6"/>
      <w:lvlJc w:val="start"/>
      <w:pPr>
        <w:tabs>
          <w:tab w:val="num" w:pos="1872"/>
        </w:tabs>
        <w:ind w:start="1872" w:hanging="1152"/>
      </w:pPr>
      <w:rPr>
        <w:rFonts w:cs="Times New Roman"/>
      </w:rPr>
    </w:lvl>
    <w:lvl w:ilvl="6">
      <w:start w:val="1"/>
      <w:pStyle w:val="Heading7"/>
      <w:numFmt w:val="decimal"/>
      <w:lvlText w:val="%1.%2.%3.%4.%5.%6.%7"/>
      <w:lvlJc w:val="start"/>
      <w:pPr>
        <w:tabs>
          <w:tab w:val="num" w:pos="2016"/>
        </w:tabs>
        <w:ind w:start="2016" w:hanging="1296"/>
      </w:pPr>
      <w:rPr>
        <w:rFonts w:cs="Times New Roman"/>
      </w:rPr>
    </w:lvl>
    <w:lvl w:ilvl="7">
      <w:start w:val="1"/>
      <w:pStyle w:val="Heading8"/>
      <w:numFmt w:val="decimal"/>
      <w:lvlText w:val="%1.%2.%3.%4.%5.%6.%7.%8"/>
      <w:lvlJc w:val="start"/>
      <w:pPr>
        <w:tabs>
          <w:tab w:val="num" w:pos="2160"/>
        </w:tabs>
        <w:ind w:start="2160" w:hanging="1440"/>
      </w:pPr>
      <w:rPr>
        <w:rFonts w:cs="Times New Roman"/>
      </w:rPr>
    </w:lvl>
    <w:lvl w:ilvl="8">
      <w:start w:val="1"/>
      <w:pStyle w:val="Heading9"/>
      <w:numFmt w:val="decimal"/>
      <w:lvlText w:val="%1.%2.%3.%4.%5.%6.%7.%8.%9"/>
      <w:lvlJc w:val="start"/>
      <w:pPr>
        <w:tabs>
          <w:tab w:val="num" w:pos="2304"/>
        </w:tabs>
        <w:ind w:start="2304" w:hanging="1584"/>
      </w:pPr>
      <w:rPr>
        <w:rFonts w:cs="Times New Roman"/>
      </w:rPr>
    </w:lvl>
  </w:abstractNum>
  <w:num w:numId="1">
    <w:abstractNumId w:val="1"/>
  </w:num>
</w:numbering>
</file>

<file path=word/settings.xml><?xml version="1.0" encoding="utf-8"?>
<w:settings xmlns:w="http://schemas.openxmlformats.org/wordprocessingml/2006/main">
  <w:zoom w:percent="100"/>
  <w:mirrorMargins/>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b/>
      <w:color w:val="auto"/>
      <w:sz w:val="20"/>
      <w:szCs w:val="20"/>
      <w:lang w:val="ru-RU" w:bidi="ar-SA" w:eastAsia="zh-CN"/>
    </w:rPr>
  </w:style>
  <w:style w:type="paragraph" w:styleId="Heading1">
    <w:name w:val="heading 1"/>
    <w:basedOn w:val="Normal"/>
    <w:next w:val="Normal"/>
    <w:qFormat/>
    <w:pPr>
      <w:widowControl/>
      <w:numPr>
        <w:ilvl w:val="0"/>
        <w:numId w:val="1"/>
      </w:numPr>
      <w:outlineLvl w:val="0"/>
    </w:pPr>
    <w:rPr>
      <w:bCs/>
      <w:sz w:val="28"/>
      <w:szCs w:val="24"/>
    </w:rPr>
  </w:style>
  <w:style w:type="paragraph" w:styleId="Heading2">
    <w:name w:val="heading 2"/>
    <w:basedOn w:val="Normal"/>
    <w:next w:val="Normal"/>
    <w:qFormat/>
    <w:pPr>
      <w:widowControl/>
      <w:numPr>
        <w:ilvl w:val="1"/>
        <w:numId w:val="1"/>
      </w:numPr>
      <w:jc w:val="both"/>
      <w:outlineLvl w:val="1"/>
    </w:pPr>
    <w:rPr>
      <w:rFonts w:cs="Arial"/>
      <w:b w:val="false"/>
      <w:bCs/>
      <w:iCs/>
      <w:sz w:val="24"/>
      <w:szCs w:val="28"/>
    </w:rPr>
  </w:style>
  <w:style w:type="paragraph" w:styleId="Heading4">
    <w:name w:val="heading 4"/>
    <w:basedOn w:val="Normal"/>
    <w:next w:val="Normal"/>
    <w:qFormat/>
    <w:pPr>
      <w:keepNext w:val="true"/>
      <w:widowControl/>
      <w:numPr>
        <w:ilvl w:val="3"/>
        <w:numId w:val="1"/>
      </w:numPr>
      <w:spacing w:before="240" w:after="60"/>
      <w:outlineLvl w:val="3"/>
    </w:pPr>
    <w:rPr>
      <w:bCs/>
      <w:sz w:val="28"/>
      <w:szCs w:val="28"/>
    </w:rPr>
  </w:style>
  <w:style w:type="paragraph" w:styleId="Heading5">
    <w:name w:val="heading 5"/>
    <w:basedOn w:val="Normal"/>
    <w:next w:val="Normal"/>
    <w:qFormat/>
    <w:pPr>
      <w:widowControl/>
      <w:numPr>
        <w:ilvl w:val="4"/>
        <w:numId w:val="1"/>
      </w:numPr>
      <w:spacing w:before="240" w:after="60"/>
      <w:jc w:val="center"/>
      <w:outlineLvl w:val="4"/>
    </w:pPr>
    <w:rPr>
      <w:bCs/>
      <w:i/>
      <w:iCs/>
      <w:sz w:val="26"/>
      <w:szCs w:val="26"/>
    </w:rPr>
  </w:style>
  <w:style w:type="paragraph" w:styleId="Heading6">
    <w:name w:val="heading 6"/>
    <w:basedOn w:val="Normal"/>
    <w:next w:val="Normal"/>
    <w:qFormat/>
    <w:pPr>
      <w:widowControl/>
      <w:numPr>
        <w:ilvl w:val="5"/>
        <w:numId w:val="1"/>
      </w:numPr>
      <w:spacing w:before="240" w:after="60"/>
      <w:outlineLvl w:val="5"/>
    </w:pPr>
    <w:rPr>
      <w:bCs/>
      <w:sz w:val="22"/>
      <w:szCs w:val="22"/>
    </w:rPr>
  </w:style>
  <w:style w:type="paragraph" w:styleId="Heading7">
    <w:name w:val="heading 7"/>
    <w:basedOn w:val="Normal"/>
    <w:next w:val="Normal"/>
    <w:qFormat/>
    <w:pPr>
      <w:widowControl/>
      <w:numPr>
        <w:ilvl w:val="6"/>
        <w:numId w:val="1"/>
      </w:numPr>
      <w:spacing w:before="240" w:after="60"/>
      <w:outlineLvl w:val="6"/>
    </w:pPr>
    <w:rPr>
      <w:b w:val="false"/>
      <w:sz w:val="24"/>
      <w:szCs w:val="24"/>
    </w:rPr>
  </w:style>
  <w:style w:type="paragraph" w:styleId="Heading8">
    <w:name w:val="heading 8"/>
    <w:basedOn w:val="Normal"/>
    <w:next w:val="Normal"/>
    <w:qFormat/>
    <w:pPr>
      <w:widowControl/>
      <w:numPr>
        <w:ilvl w:val="7"/>
        <w:numId w:val="1"/>
      </w:numPr>
      <w:spacing w:before="240" w:after="60"/>
      <w:outlineLvl w:val="7"/>
    </w:pPr>
    <w:rPr>
      <w:b w:val="false"/>
      <w:i/>
      <w:iCs/>
      <w:sz w:val="24"/>
      <w:szCs w:val="24"/>
    </w:rPr>
  </w:style>
  <w:style w:type="paragraph" w:styleId="Heading9">
    <w:name w:val="heading 9"/>
    <w:basedOn w:val="Normal"/>
    <w:next w:val="Normal"/>
    <w:qFormat/>
    <w:pPr>
      <w:widowControl/>
      <w:numPr>
        <w:ilvl w:val="8"/>
        <w:numId w:val="1"/>
      </w:numPr>
      <w:spacing w:before="240" w:after="60"/>
      <w:outlineLvl w:val="8"/>
    </w:pPr>
    <w:rPr>
      <w:rFonts w:ascii="Arial" w:hAnsi="Arial" w:cs="Arial"/>
      <w:b w:val="false"/>
      <w:sz w:val="22"/>
      <w:szCs w:val="22"/>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ascii="Symbol" w:hAnsi="Symbol" w:cs="Symbol"/>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cs="Times New Roman"/>
      <w:b/>
      <w:i w:val="false"/>
      <w:color w:val="000000"/>
      <w:sz w:val="28"/>
      <w:szCs w:val="28"/>
      <w:u w:val="none"/>
    </w:rPr>
  </w:style>
  <w:style w:type="character" w:styleId="WW8Num8z1">
    <w:name w:val="WW8Num8z1"/>
    <w:qFormat/>
    <w:rPr>
      <w:rFonts w:ascii="Times New Roman" w:hAnsi="Times New Roman" w:cs="Times New Roman"/>
      <w:b w:val="false"/>
      <w:bCs/>
      <w:i w:val="false"/>
      <w:color w:val="000000"/>
      <w:sz w:val="24"/>
      <w:szCs w:val="24"/>
      <w:u w:val="none"/>
    </w:rPr>
  </w:style>
  <w:style w:type="character" w:styleId="WW8Num8z2">
    <w:name w:val="WW8Num8z2"/>
    <w:qFormat/>
    <w:rPr>
      <w:rFonts w:ascii="Times New Roman" w:hAnsi="Times New Roman" w:cs="Times New Roman"/>
      <w:b w:val="false"/>
      <w:i w:val="false"/>
      <w:color w:val="000000"/>
      <w:sz w:val="24"/>
      <w:szCs w:val="24"/>
      <w:u w:val="none"/>
    </w:rPr>
  </w:style>
  <w:style w:type="character" w:styleId="WW8Num8z3">
    <w:name w:val="WW8Num8z3"/>
    <w:qFormat/>
    <w:rPr>
      <w:rFonts w:ascii="Arial" w:hAnsi="Arial" w:cs="Times New Roman"/>
      <w:b/>
      <w:i w:val="false"/>
      <w:color w:val="000000"/>
      <w:sz w:val="24"/>
      <w:szCs w:val="24"/>
      <w:u w:val="none"/>
    </w:rPr>
  </w:style>
  <w:style w:type="character" w:styleId="WW8Num8z4">
    <w:name w:val="WW8Num8z4"/>
    <w:qFormat/>
    <w:rPr>
      <w:rFonts w:ascii="Times New Roman" w:hAnsi="Times New Roman" w:cs="Times New Roman"/>
      <w:b/>
      <w:i w:val="false"/>
      <w:color w:val="000000"/>
      <w:sz w:val="32"/>
      <w:szCs w:val="32"/>
      <w:u w:val="none"/>
    </w:rPr>
  </w:style>
  <w:style w:type="character" w:styleId="WW8Num8z5">
    <w:name w:val="WW8Num8z5"/>
    <w:qFormat/>
    <w:rPr>
      <w:rFonts w:cs="Times New Roman"/>
    </w:rPr>
  </w:style>
  <w:style w:type="character" w:styleId="WW8Num9z0">
    <w:name w:val="WW8Num9z0"/>
    <w:qFormat/>
    <w:rPr/>
  </w:style>
  <w:style w:type="character" w:styleId="WW8Num10z0">
    <w:name w:val="WW8Num10z0"/>
    <w:qFormat/>
    <w:rPr/>
  </w:style>
  <w:style w:type="character" w:styleId="WW8Num12z0">
    <w:name w:val="WW8Num12z0"/>
    <w:qFormat/>
    <w:rPr/>
  </w:style>
  <w:style w:type="character" w:styleId="WW8Num13z0">
    <w:name w:val="WW8Num13z0"/>
    <w:qFormat/>
    <w:rPr>
      <w:rFonts w:ascii="Times New Roman" w:hAnsi="Times New Roman" w:cs="Times New Roman"/>
      <w:b/>
      <w:i w:val="false"/>
      <w:color w:val="000000"/>
      <w:sz w:val="28"/>
      <w:szCs w:val="28"/>
      <w:u w:val="none"/>
    </w:rPr>
  </w:style>
  <w:style w:type="character" w:styleId="WW8Num13z1">
    <w:name w:val="WW8Num13z1"/>
    <w:qFormat/>
    <w:rPr>
      <w:rFonts w:ascii="Times New Roman" w:hAnsi="Times New Roman" w:cs="Times New Roman"/>
      <w:b w:val="false"/>
      <w:bCs/>
      <w:i w:val="false"/>
      <w:color w:val="000000"/>
      <w:sz w:val="24"/>
      <w:szCs w:val="24"/>
      <w:u w:val="none"/>
    </w:rPr>
  </w:style>
  <w:style w:type="character" w:styleId="WW8Num13z2">
    <w:name w:val="WW8Num13z2"/>
    <w:qFormat/>
    <w:rPr>
      <w:rFonts w:ascii="Times New Roman" w:hAnsi="Times New Roman" w:cs="Times New Roman"/>
      <w:b w:val="false"/>
      <w:i w:val="false"/>
      <w:color w:val="000000"/>
      <w:sz w:val="24"/>
      <w:szCs w:val="24"/>
      <w:u w:val="none"/>
    </w:rPr>
  </w:style>
  <w:style w:type="character" w:styleId="WW8Num13z3">
    <w:name w:val="WW8Num13z3"/>
    <w:qFormat/>
    <w:rPr>
      <w:rFonts w:ascii="Arial" w:hAnsi="Arial" w:cs="Times New Roman"/>
      <w:b/>
      <w:i w:val="false"/>
      <w:color w:val="000000"/>
      <w:sz w:val="24"/>
      <w:szCs w:val="24"/>
      <w:u w:val="none"/>
    </w:rPr>
  </w:style>
  <w:style w:type="character" w:styleId="WW8Num13z4">
    <w:name w:val="WW8Num13z4"/>
    <w:qFormat/>
    <w:rPr>
      <w:rFonts w:ascii="Times New Roman" w:hAnsi="Times New Roman" w:cs="Times New Roman"/>
      <w:b/>
      <w:i w:val="false"/>
      <w:color w:val="000000"/>
      <w:sz w:val="32"/>
      <w:szCs w:val="32"/>
      <w:u w:val="none"/>
    </w:rPr>
  </w:style>
  <w:style w:type="character" w:styleId="WW8Num13z5">
    <w:name w:val="WW8Num13z5"/>
    <w:qFormat/>
    <w:rPr>
      <w:rFonts w:cs="Times New Roman"/>
    </w:rPr>
  </w:style>
  <w:style w:type="character" w:styleId="WW8Num14z0">
    <w:name w:val="WW8Num14z0"/>
    <w:qFormat/>
    <w:rPr/>
  </w:style>
  <w:style w:type="character" w:styleId="WW8Num15z0">
    <w:name w:val="WW8Num15z0"/>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Style6">
    <w:name w:val="Основной шрифт абзаца"/>
    <w:qFormat/>
    <w:rPr/>
  </w:style>
  <w:style w:type="character" w:styleId="Style7">
    <w:name w:val="Знак примечания"/>
    <w:qFormat/>
    <w:rPr>
      <w:sz w:val="16"/>
      <w:szCs w:val="16"/>
    </w:rPr>
  </w:style>
  <w:style w:type="character" w:styleId="Hyperlink">
    <w:name w:val="Hyperlink"/>
    <w:rPr>
      <w:color w:val="0000FF"/>
      <w:u w:val="single"/>
    </w:rPr>
  </w:style>
  <w:style w:type="character" w:styleId="Style8">
    <w:name w:val="Верхний колонтитул Знак"/>
    <w:qFormat/>
    <w:rPr>
      <w:sz w:val="24"/>
      <w:szCs w:val="24"/>
    </w:rPr>
  </w:style>
  <w:style w:type="character" w:styleId="Style9">
    <w:name w:val="Основной текст Знак"/>
    <w:qFormat/>
    <w:rPr>
      <w:rFonts w:cs="Cambria"/>
    </w:rPr>
  </w:style>
  <w:style w:type="character" w:styleId="Style10">
    <w:name w:val="Без интервала Знак"/>
    <w:qFormat/>
    <w:rPr>
      <w:rFonts w:ascii="Cambria" w:hAnsi="Cambria" w:eastAsia="MS Mincho;ＭＳ 明朝" w:cs="Cambria"/>
      <w:sz w:val="24"/>
      <w:szCs w:val="24"/>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uppressAutoHyphens w:val="true"/>
      <w:spacing w:before="0" w:after="120"/>
    </w:pPr>
    <w:rPr>
      <w:rFonts w:cs="Cambria"/>
      <w:b w:val="fals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widowControl/>
      <w:tabs>
        <w:tab w:val="clear" w:pos="708"/>
        <w:tab w:val="center" w:pos="4677" w:leader="none"/>
        <w:tab w:val="right" w:pos="9355" w:leader="none"/>
      </w:tabs>
    </w:pPr>
    <w:rPr>
      <w:b w:val="false"/>
      <w:sz w:val="24"/>
      <w:szCs w:val="24"/>
      <w:lang w:val="en-US"/>
    </w:rPr>
  </w:style>
  <w:style w:type="paragraph" w:styleId="Style11">
    <w:name w:val="Текст выноски"/>
    <w:basedOn w:val="Normal"/>
    <w:qFormat/>
    <w:pPr/>
    <w:rPr>
      <w:rFonts w:ascii="Tahoma" w:hAnsi="Tahoma" w:cs="Tahoma"/>
      <w:sz w:val="16"/>
      <w:szCs w:val="16"/>
    </w:rPr>
  </w:style>
  <w:style w:type="paragraph" w:styleId="ConsNormal">
    <w:name w:val="ConsNormal"/>
    <w:qFormat/>
    <w:pPr>
      <w:widowControl/>
      <w:autoSpaceDE w:val="false"/>
      <w:bidi w:val="0"/>
      <w:ind w:firstLine="720" w:start="0" w:end="19772"/>
    </w:pPr>
    <w:rPr>
      <w:rFonts w:ascii="Arial" w:hAnsi="Arial" w:eastAsia="Times New Roman" w:cs="Arial"/>
      <w:color w:val="auto"/>
      <w:sz w:val="20"/>
      <w:szCs w:val="20"/>
      <w:lang w:val="ru-RU" w:bidi="ar-SA" w:eastAsia="zh-CN"/>
    </w:rPr>
  </w:style>
  <w:style w:type="paragraph" w:styleId="Style12">
    <w:name w:val="Текст примечания"/>
    <w:basedOn w:val="Normal"/>
    <w:qFormat/>
    <w:pPr/>
    <w:rPr/>
  </w:style>
  <w:style w:type="paragraph" w:styleId="Style13">
    <w:name w:val="Тема примечания"/>
    <w:basedOn w:val="Style12"/>
    <w:next w:val="Style12"/>
    <w:qFormat/>
    <w:pPr/>
    <w:rPr>
      <w:bCs/>
    </w:rPr>
  </w:style>
  <w:style w:type="paragraph" w:styleId="Style14">
    <w:name w:val=" Знак"/>
    <w:basedOn w:val="Normal"/>
    <w:qFormat/>
    <w:pPr>
      <w:widowControl/>
      <w:spacing w:lineRule="exact" w:line="240" w:before="0" w:after="160"/>
    </w:pPr>
    <w:rPr>
      <w:rFonts w:ascii="Tahoma" w:hAnsi="Tahoma" w:cs="Tahoma"/>
      <w:b w:val="false"/>
      <w:sz w:val="18"/>
      <w:lang w:val="en-US"/>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ru-RU" w:bidi="ar-SA" w:eastAsia="zh-CN"/>
    </w:rPr>
  </w:style>
  <w:style w:type="paragraph" w:styleId="Style15">
    <w:name w:val="Без интервала"/>
    <w:qFormat/>
    <w:pPr>
      <w:widowControl w:val="false"/>
      <w:suppressAutoHyphens w:val="true"/>
      <w:bidi w:val="0"/>
    </w:pPr>
    <w:rPr>
      <w:rFonts w:ascii="Cambria" w:hAnsi="Cambria" w:eastAsia="MS Mincho;ＭＳ 明朝" w:cs="Cambria"/>
      <w:color w:val="auto"/>
      <w:sz w:val="24"/>
      <w:szCs w:val="24"/>
      <w:lang w:val="ru-RU"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1061</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2012-09-19T05:50:00Z</dcterms:created>
  <dc:creator>KalashnikovaVL</dc:creator>
  <dc:description/>
  <cp:keywords/>
  <dc:language>en-US</dc:language>
  <cp:lastModifiedBy>Екатерина В. Ушивцева</cp:lastModifiedBy>
  <cp:lastPrinted>2014-07-17T14:46:00Z</cp:lastPrinted>
  <dcterms:modified xsi:type="dcterms:W3CDTF">2025-12-15T08:28:00Z</dcterms:modified>
  <cp:revision>184</cp:revision>
  <dc:subject/>
  <dc:title>УТВЕРЖДАЮ</dc:title>
</cp:coreProperties>
</file>