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0" w:after="0"/>
        <w:ind w:hanging="0" w:start="0"/>
        <w:jc w:val="center"/>
        <w:rPr>
          <w:rFonts w:ascii="Times New Roman" w:hAnsi="Times New Roman" w:cs="Times New Roman"/>
          <w:b w:val="false"/>
          <w:sz w:val="20"/>
        </w:rPr>
      </w:pPr>
      <w:r>
        <w:rPr>
          <w:rFonts w:cs="Times New Roman" w:ascii="Times New Roman" w:hAnsi="Times New Roman"/>
          <w:b w:val="false"/>
          <w:sz w:val="20"/>
        </w:rPr>
        <w:t>Протокол № 32514536152-01</w:t>
      </w:r>
    </w:p>
    <w:p>
      <w:pPr>
        <w:pStyle w:val="Heading1"/>
        <w:spacing w:lineRule="auto" w:line="276" w:before="0" w:after="0"/>
        <w:ind w:hanging="0" w:start="0"/>
        <w:jc w:val="center"/>
        <w:rPr>
          <w:sz w:val="20"/>
        </w:rPr>
      </w:pPr>
      <w:r>
        <w:rPr>
          <w:rFonts w:cs="Times New Roman" w:ascii="Times New Roman" w:hAnsi="Times New Roman"/>
          <w:b w:val="false"/>
          <w:sz w:val="20"/>
        </w:rPr>
        <w:t>по рассмотрению заявок на участие в запросе котировок в электронной форме</w:t>
      </w:r>
      <w:r>
        <w:rPr>
          <w:rFonts w:cs="Times New Roman" w:ascii="Times New Roman" w:hAnsi="Times New Roman"/>
          <w:kern w:val="0"/>
          <w:sz w:val="20"/>
        </w:rPr>
        <w:t xml:space="preserve"> </w:t>
      </w:r>
      <w:r>
        <w:rPr>
          <w:rFonts w:cs="Times New Roman" w:ascii="Times New Roman" w:hAnsi="Times New Roman"/>
          <w:b w:val="false"/>
          <w:kern w:val="0"/>
          <w:sz w:val="20"/>
        </w:rPr>
        <w:t>и</w:t>
      </w:r>
      <w:r>
        <w:rPr>
          <w:rFonts w:cs="Times New Roman" w:ascii="Times New Roman" w:hAnsi="Times New Roman"/>
          <w:kern w:val="0"/>
          <w:sz w:val="20"/>
        </w:rPr>
        <w:t xml:space="preserve"> </w:t>
      </w:r>
      <w:r>
        <w:rPr>
          <w:rFonts w:cs="Times New Roman" w:ascii="Times New Roman" w:hAnsi="Times New Roman"/>
          <w:b w:val="false"/>
          <w:sz w:val="20"/>
        </w:rPr>
        <w:t xml:space="preserve">подведению итогов закупки  </w:t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РТ, г. Казань, ул. Достоевского, д. 18/75                                                                         03 марта 2025 года, 08 час. 15 мин.</w:t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Присутствуют:</w:t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8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37"/>
        <w:gridCol w:w="7284"/>
      </w:tblGrid>
      <w:tr>
        <w:trPr>
          <w:trHeight w:val="1158" w:hRule="atLeast"/>
        </w:trPr>
        <w:tc>
          <w:tcPr>
            <w:tcW w:w="253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>
                <w:color w:val="000000"/>
                <w:sz w:val="20"/>
                <w:szCs w:val="20"/>
              </w:rPr>
              <w:t>Порфирьев С.Ю.</w:t>
            </w:r>
          </w:p>
          <w:p>
            <w:pPr>
              <w:pStyle w:val="Normal"/>
              <w:spacing w:lineRule="auto" w:line="276"/>
              <w:rPr/>
            </w:pPr>
            <w:r>
              <w:rPr>
                <w:color w:val="000000"/>
                <w:sz w:val="20"/>
                <w:szCs w:val="20"/>
              </w:rPr>
              <w:t>Ушанов В.А.</w:t>
            </w:r>
          </w:p>
          <w:p>
            <w:pPr>
              <w:pStyle w:val="Normal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Алёшкин А.В.</w:t>
            </w:r>
          </w:p>
          <w:p>
            <w:pPr>
              <w:pStyle w:val="Normal"/>
              <w:spacing w:lineRule="auto" w:line="27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Бусургина Н.Н.</w:t>
            </w:r>
          </w:p>
        </w:tc>
        <w:tc>
          <w:tcPr>
            <w:tcW w:w="7284" w:type="dxa"/>
            <w:tcBorders/>
          </w:tcPr>
          <w:p>
            <w:pPr>
              <w:pStyle w:val="Normal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 конкурсной комиссии АО «Татавтодор»</w:t>
            </w:r>
          </w:p>
          <w:p>
            <w:pPr>
              <w:pStyle w:val="Normal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конкурсной комиссии АО «Татавтодор»</w:t>
            </w:r>
          </w:p>
          <w:p>
            <w:pPr>
              <w:pStyle w:val="Normal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конкурсной комиссии АО «Татавтодор»</w:t>
            </w:r>
          </w:p>
          <w:p>
            <w:pPr>
              <w:pStyle w:val="Normal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секретарь конкурсной комиссии АО «Татавтодор» (без права голоса)</w:t>
            </w:r>
          </w:p>
        </w:tc>
      </w:tr>
    </w:tbl>
    <w:p>
      <w:pPr>
        <w:pStyle w:val="Normal"/>
        <w:tabs>
          <w:tab w:val="clear" w:pos="708"/>
          <w:tab w:val="left" w:pos="284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76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Сведения о закупке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284" w:leader="none"/>
          <w:tab w:val="left" w:pos="426" w:leader="none"/>
        </w:tabs>
        <w:spacing w:lineRule="auto" w:line="276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Заказчик: Акционерное общество «Татавтодор».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284" w:leader="none"/>
          <w:tab w:val="left" w:pos="426" w:leader="none"/>
          <w:tab w:val="left" w:pos="567" w:leader="none"/>
        </w:tabs>
        <w:spacing w:lineRule="auto" w:line="276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Способ закупки: запрос котировок</w:t>
      </w:r>
      <w:r>
        <w:rPr>
          <w:iCs/>
          <w:sz w:val="20"/>
          <w:szCs w:val="20"/>
        </w:rPr>
        <w:t xml:space="preserve"> в электронной форме</w:t>
      </w:r>
      <w:r>
        <w:rPr>
          <w:sz w:val="20"/>
          <w:szCs w:val="20"/>
        </w:rPr>
        <w:t xml:space="preserve"> № </w:t>
      </w:r>
      <w:r>
        <w:rPr>
          <w:color w:val="002060"/>
          <w:sz w:val="20"/>
        </w:rPr>
        <w:t>32514536152</w:t>
      </w:r>
      <w:r>
        <w:rPr>
          <w:iCs/>
          <w:sz w:val="20"/>
          <w:szCs w:val="20"/>
        </w:rPr>
        <w:t xml:space="preserve"> (далее также «закупка», «запрос котировок»)</w:t>
      </w:r>
      <w:r>
        <w:rPr>
          <w:sz w:val="20"/>
          <w:szCs w:val="20"/>
        </w:rPr>
        <w:t>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426" w:leader="none"/>
          <w:tab w:val="left" w:pos="567" w:leader="none"/>
        </w:tabs>
        <w:spacing w:lineRule="auto" w:line="276"/>
        <w:ind w:hanging="0" w:start="0" w:end="0"/>
        <w:jc w:val="both"/>
        <w:rPr>
          <w:bCs/>
          <w:color w:val="002060"/>
          <w:sz w:val="20"/>
          <w:szCs w:val="20"/>
        </w:rPr>
      </w:pPr>
      <w:r>
        <w:rPr>
          <w:sz w:val="20"/>
          <w:szCs w:val="20"/>
        </w:rPr>
        <w:t>Предмет закупки:</w:t>
      </w:r>
      <w:r>
        <w:rPr>
          <w:b/>
          <w:sz w:val="20"/>
          <w:szCs w:val="20"/>
        </w:rPr>
        <w:t xml:space="preserve"> </w:t>
      </w:r>
      <w:r>
        <w:rPr>
          <w:bCs/>
          <w:iCs/>
          <w:color w:val="002060"/>
          <w:sz w:val="20"/>
          <w:szCs w:val="20"/>
        </w:rPr>
        <w:t xml:space="preserve">выполнение </w:t>
      </w:r>
      <w:r>
        <w:rPr>
          <w:bCs/>
          <w:iCs/>
          <w:color w:val="002060"/>
          <w:sz w:val="20"/>
          <w:szCs w:val="22"/>
        </w:rPr>
        <w:t xml:space="preserve">работ </w:t>
      </w:r>
      <w:r>
        <w:rPr>
          <w:bCs/>
          <w:iCs/>
          <w:color w:val="002060"/>
          <w:sz w:val="20"/>
          <w:szCs w:val="20"/>
        </w:rPr>
        <w:t xml:space="preserve">по ремонту кабины КДМ ЭД-500АК КамАЗ-65115 </w:t>
      </w:r>
      <w:r>
        <w:rPr>
          <w:bCs/>
          <w:color w:val="002060"/>
          <w:sz w:val="20"/>
          <w:szCs w:val="20"/>
        </w:rPr>
        <w:t>в соответствии с техническим заданием</w:t>
      </w:r>
      <w:r>
        <w:rPr>
          <w:color w:val="002060"/>
          <w:sz w:val="20"/>
          <w:szCs w:val="20"/>
        </w:rPr>
        <w:t xml:space="preserve">. 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284" w:leader="none"/>
          <w:tab w:val="left" w:pos="426" w:leader="none"/>
        </w:tabs>
        <w:spacing w:lineRule="auto" w:line="276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Сведения о начальной (максимальной) цене договора: </w:t>
      </w:r>
      <w:r>
        <w:rPr>
          <w:i/>
          <w:sz w:val="20"/>
          <w:szCs w:val="22"/>
        </w:rPr>
        <w:t>1 044 135,65</w:t>
      </w:r>
      <w:r>
        <w:rPr>
          <w:rFonts w:cs="Arial Narrow" w:ascii="Arial Narrow" w:hAnsi="Arial Narrow"/>
          <w:color w:val="002060"/>
          <w:sz w:val="18"/>
        </w:rPr>
        <w:t xml:space="preserve"> </w:t>
      </w:r>
      <w:r>
        <w:rPr>
          <w:i/>
          <w:sz w:val="20"/>
          <w:szCs w:val="22"/>
        </w:rPr>
        <w:t>рублей</w:t>
      </w:r>
      <w:r>
        <w:rPr>
          <w:rFonts w:eastAsia="Calibri"/>
          <w:i/>
          <w:kern w:val="2"/>
          <w:sz w:val="20"/>
          <w:szCs w:val="22"/>
        </w:rPr>
        <w:t xml:space="preserve"> с учетом всех налогов и сборов</w:t>
      </w:r>
      <w:r>
        <w:rPr>
          <w:sz w:val="20"/>
          <w:szCs w:val="20"/>
        </w:rPr>
        <w:t>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284" w:leader="none"/>
          <w:tab w:val="left" w:pos="426" w:leader="none"/>
        </w:tabs>
        <w:spacing w:lineRule="auto" w:line="276"/>
        <w:ind w:hanging="0" w:start="0" w:end="0"/>
        <w:jc w:val="both"/>
        <w:rPr>
          <w:sz w:val="20"/>
          <w:szCs w:val="20"/>
        </w:rPr>
      </w:pPr>
      <w:r>
        <w:rPr>
          <w:sz w:val="20"/>
          <w:szCs w:val="22"/>
        </w:rPr>
        <w:t xml:space="preserve">Объем выполняемых работ/количество поставляемого товара: </w:t>
      </w:r>
      <w:r>
        <w:rPr>
          <w:color w:val="002060"/>
          <w:sz w:val="20"/>
          <w:szCs w:val="22"/>
        </w:rPr>
        <w:t xml:space="preserve">определяется </w:t>
      </w:r>
      <w:r>
        <w:rPr>
          <w:bCs/>
          <w:color w:val="002060"/>
          <w:sz w:val="20"/>
          <w:szCs w:val="22"/>
        </w:rPr>
        <w:t>в соответствии с Приложением к Техническому заданию. Общее количество техники, подлежащей ремонту: 1 единица</w:t>
      </w:r>
      <w:r>
        <w:rPr>
          <w:sz w:val="20"/>
          <w:szCs w:val="20"/>
        </w:rPr>
        <w:t>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284" w:leader="none"/>
          <w:tab w:val="left" w:pos="426" w:leader="none"/>
        </w:tabs>
        <w:spacing w:lineRule="auto" w:line="276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Срок исполнения договора:</w:t>
      </w:r>
    </w:p>
    <w:p>
      <w:pPr>
        <w:pStyle w:val="Normal"/>
        <w:tabs>
          <w:tab w:val="clear" w:pos="708"/>
          <w:tab w:val="left" w:pos="284" w:leader="none"/>
          <w:tab w:val="left" w:pos="426" w:leader="none"/>
        </w:tabs>
        <w:spacing w:lineRule="auto" w:line="276"/>
        <w:jc w:val="both"/>
        <w:rPr>
          <w:bCs/>
          <w:iCs/>
          <w:sz w:val="20"/>
          <w:szCs w:val="20"/>
        </w:rPr>
      </w:pPr>
      <w:r>
        <w:rPr>
          <w:sz w:val="20"/>
          <w:szCs w:val="20"/>
        </w:rPr>
        <w:t xml:space="preserve">1.6.1. </w:t>
      </w:r>
      <w:r>
        <w:rPr>
          <w:sz w:val="20"/>
          <w:szCs w:val="22"/>
        </w:rPr>
        <w:t xml:space="preserve">Сроки выполнения работ/поставки товара: </w:t>
      </w:r>
      <w:r>
        <w:rPr>
          <w:color w:val="002060"/>
          <w:sz w:val="20"/>
          <w:szCs w:val="22"/>
        </w:rPr>
        <w:t>в</w:t>
      </w:r>
      <w:r>
        <w:rPr>
          <w:sz w:val="20"/>
          <w:szCs w:val="22"/>
        </w:rPr>
        <w:t xml:space="preserve"> </w:t>
      </w:r>
      <w:r>
        <w:rPr>
          <w:bCs/>
          <w:iCs/>
          <w:color w:val="002060"/>
          <w:sz w:val="20"/>
          <w:szCs w:val="22"/>
        </w:rPr>
        <w:t>течение 14 календарных дней со дня заключения договора</w:t>
      </w:r>
      <w:r>
        <w:rPr>
          <w:sz w:val="20"/>
          <w:szCs w:val="20"/>
        </w:rPr>
        <w:t xml:space="preserve">.  </w:t>
      </w:r>
    </w:p>
    <w:p>
      <w:pPr>
        <w:pStyle w:val="Normal"/>
        <w:widowControl w:val="false"/>
        <w:autoSpaceDE w:val="false"/>
        <w:spacing w:lineRule="auto" w:line="276"/>
        <w:jc w:val="both"/>
        <w:rPr/>
      </w:pPr>
      <w:r>
        <w:rPr>
          <w:rFonts w:cs="Arial"/>
          <w:sz w:val="20"/>
          <w:szCs w:val="20"/>
        </w:rPr>
        <w:t xml:space="preserve">1.6.2. </w:t>
      </w:r>
      <w:r>
        <w:rPr>
          <w:bCs/>
          <w:iCs/>
          <w:sz w:val="20"/>
          <w:szCs w:val="22"/>
        </w:rPr>
        <w:t xml:space="preserve">Срок действия договора: </w:t>
      </w:r>
      <w:r>
        <w:rPr>
          <w:color w:val="002060"/>
          <w:sz w:val="20"/>
          <w:szCs w:val="22"/>
        </w:rPr>
        <w:t>по 28.04.2025</w:t>
      </w:r>
      <w:r>
        <w:rPr>
          <w:sz w:val="20"/>
          <w:szCs w:val="22"/>
        </w:rPr>
        <w:t>, а в части взаиморасчетов – до полного исполнения сторонами своих обязательств</w:t>
      </w:r>
      <w:r>
        <w:rPr>
          <w:rFonts w:cs="Arial"/>
          <w:sz w:val="20"/>
          <w:szCs w:val="20"/>
        </w:rPr>
        <w:t xml:space="preserve">. </w:t>
      </w:r>
    </w:p>
    <w:p>
      <w:pPr>
        <w:pStyle w:val="Normal"/>
        <w:spacing w:lineRule="auto" w:line="276"/>
        <w:jc w:val="both"/>
        <w:rPr/>
      </w:pPr>
      <w:r>
        <w:rPr>
          <w:sz w:val="20"/>
          <w:szCs w:val="20"/>
        </w:rPr>
        <w:t>1.7. Закупка размещена на официальном сайте Единой информационной системы в сфере закупок http://www.zakupki.gov.ru/ и на электронной площадки www.rts-tender.ru.</w:t>
      </w:r>
    </w:p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1"/>
        <w:spacing w:lineRule="auto" w:line="276"/>
        <w:jc w:val="both"/>
        <w:rPr/>
      </w:pPr>
      <w:r>
        <w:rPr>
          <w:sz w:val="20"/>
          <w:szCs w:val="20"/>
        </w:rPr>
        <w:t>Процедура рассмотрения заявок на участие в закупке и подведения итогов проводится 03 марта 2025 года в 08 часов 15 минут по адресу: Республика Татарстан, г. Казань, ул. Достоевского, д. 18/75.</w:t>
      </w:r>
    </w:p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Сведения о заявках на участие в </w:t>
      </w:r>
      <w:r>
        <w:rPr>
          <w:bCs/>
          <w:sz w:val="20"/>
          <w:szCs w:val="20"/>
        </w:rPr>
        <w:t>закупке</w:t>
      </w:r>
    </w:p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До окончания срока подачи заявок на участие в закупке </w:t>
      </w:r>
      <w:r>
        <w:rPr>
          <w:color w:val="002060"/>
          <w:sz w:val="20"/>
          <w:szCs w:val="20"/>
        </w:rPr>
        <w:t>подана 1 заявка</w:t>
      </w:r>
      <w:r>
        <w:rPr>
          <w:sz w:val="20"/>
          <w:szCs w:val="20"/>
        </w:rPr>
        <w:t xml:space="preserve"> на участие в закупке в электронной форме (выписка из журнала регистрации заявок на участие в закупке):</w:t>
      </w:r>
    </w:p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0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3"/>
        <w:gridCol w:w="2628"/>
        <w:gridCol w:w="3616"/>
        <w:gridCol w:w="3139"/>
      </w:tblGrid>
      <w:tr>
        <w:trPr/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eastAsia="Arial Unicode MS"/>
                <w:caps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 xml:space="preserve">№ </w:t>
            </w:r>
            <w:r>
              <w:rPr>
                <w:rFonts w:eastAsia="Arial Unicode MS"/>
                <w:sz w:val="20"/>
                <w:szCs w:val="20"/>
              </w:rPr>
              <w:t>п/п</w:t>
            </w:r>
          </w:p>
        </w:tc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eastAsia="Arial Unicode MS"/>
                <w:caps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>Дата поступления</w:t>
            </w:r>
          </w:p>
        </w:tc>
        <w:tc>
          <w:tcPr>
            <w:tcW w:w="3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eastAsia="Arial Unicode MS"/>
                <w:caps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>Время поступления</w:t>
            </w:r>
          </w:p>
        </w:tc>
        <w:tc>
          <w:tcPr>
            <w:tcW w:w="3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eastAsia="Arial Unicode MS"/>
                <w:caps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>Регистрационный номер</w:t>
            </w:r>
          </w:p>
        </w:tc>
      </w:tr>
      <w:tr>
        <w:trPr>
          <w:trHeight w:val="487" w:hRule="atLeast"/>
        </w:trPr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center"/>
              <w:rPr>
                <w:rFonts w:eastAsia="Arial Unicode MS"/>
                <w:caps/>
                <w:sz w:val="20"/>
                <w:szCs w:val="20"/>
              </w:rPr>
            </w:pPr>
            <w:r>
              <w:rPr>
                <w:rFonts w:eastAsia="Arial Unicode MS"/>
                <w:caps/>
                <w:sz w:val="20"/>
                <w:szCs w:val="20"/>
              </w:rPr>
              <w:t>1</w:t>
            </w:r>
          </w:p>
        </w:tc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28.02.2025</w:t>
            </w:r>
          </w:p>
        </w:tc>
        <w:tc>
          <w:tcPr>
            <w:tcW w:w="3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14:46</w:t>
            </w:r>
          </w:p>
        </w:tc>
        <w:tc>
          <w:tcPr>
            <w:tcW w:w="3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  <w:t>3. Рассмотрение заявок на участие в закупке</w:t>
      </w:r>
    </w:p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1"/>
        <w:spacing w:lineRule="auto" w:line="276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3.1. Заявка № 1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5244"/>
      </w:tblGrid>
      <w:tr>
        <w:trPr>
          <w:trHeight w:val="308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Регистрационный номер заявки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trHeight w:val="380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договора, предложенная участником закупки, рубль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</w:rPr>
              <w:t>982 264,33</w:t>
            </w:r>
          </w:p>
        </w:tc>
      </w:tr>
      <w:tr>
        <w:trPr>
          <w:trHeight w:val="380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об отнесении участника закупки к субъектам малого и среднего предпринимательства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i/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не является субъектом МСП</w:t>
            </w:r>
          </w:p>
        </w:tc>
      </w:tr>
    </w:tbl>
    <w:p>
      <w:pPr>
        <w:pStyle w:val="Style21"/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/>
      </w:pPr>
      <w:r>
        <w:rPr>
          <w:i/>
          <w:sz w:val="20"/>
          <w:szCs w:val="20"/>
        </w:rPr>
        <w:t xml:space="preserve">По заявке № </w:t>
      </w:r>
      <w:r>
        <w:rPr/>
        <w:t>1 несоответствий требованиям документации о закупке не выявлено: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5244"/>
      </w:tblGrid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Решение члена комиссии</w:t>
            </w:r>
          </w:p>
        </w:tc>
      </w:tr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Порфирьев С.Ю.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соответствует, допустить к участию</w:t>
            </w:r>
          </w:p>
        </w:tc>
      </w:tr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/>
            </w:pPr>
            <w:r>
              <w:rPr>
                <w:bCs/>
                <w:sz w:val="20"/>
                <w:szCs w:val="20"/>
              </w:rPr>
              <w:t>Ушанов В.А.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соответствует, допустить к участию</w:t>
            </w:r>
          </w:p>
        </w:tc>
      </w:tr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Алёшкин А.В.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соответствует, допустить к участию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76"/>
        <w:jc w:val="both"/>
        <w:rPr/>
      </w:pPr>
      <w:r>
        <w:rPr>
          <w:sz w:val="20"/>
          <w:szCs w:val="20"/>
        </w:rPr>
        <w:t>4. По итогам рассмотрения заявок конкурсная комиссия решила: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  <w:t>4.1. признать заявку № 1</w:t>
      </w:r>
      <w:r>
        <w:rPr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соответствующей требованиям </w:t>
      </w:r>
      <w:r>
        <w:rPr>
          <w:bCs/>
          <w:sz w:val="20"/>
          <w:szCs w:val="20"/>
        </w:rPr>
        <w:t>извещения о проведении закупки</w:t>
      </w:r>
      <w:r>
        <w:rPr>
          <w:sz w:val="20"/>
          <w:szCs w:val="20"/>
        </w:rPr>
        <w:t>, допустить к участию в запросе котировок и признать участником запроса котировок;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426" w:leader="none"/>
        </w:tabs>
        <w:spacing w:lineRule="auto" w:line="276"/>
        <w:ind w:start="426" w:end="0"/>
        <w:jc w:val="both"/>
        <w:rPr/>
      </w:pPr>
      <w:r>
        <w:rPr>
          <w:bCs/>
          <w:sz w:val="20"/>
          <w:szCs w:val="20"/>
        </w:rPr>
        <w:t>Общее количество заявок: 1</w:t>
      </w:r>
    </w:p>
    <w:p>
      <w:pPr>
        <w:pStyle w:val="Normal"/>
        <w:tabs>
          <w:tab w:val="clear" w:pos="708"/>
          <w:tab w:val="left" w:pos="426" w:leader="none"/>
        </w:tabs>
        <w:spacing w:lineRule="auto" w:line="276"/>
        <w:ind w:start="426" w:end="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Количество допущенных заявок: 1</w:t>
      </w:r>
    </w:p>
    <w:p>
      <w:pPr>
        <w:pStyle w:val="Normal"/>
        <w:tabs>
          <w:tab w:val="clear" w:pos="708"/>
          <w:tab w:val="left" w:pos="426" w:leader="none"/>
        </w:tabs>
        <w:spacing w:lineRule="auto" w:line="276"/>
        <w:ind w:start="426" w:end="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Количество отклоненных заявок: 0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4.2. в связи с тем, что по окончании срока подачи заявок на участие в закупке подана только одна заявка на участие в закупке, признать настоящий запрос котировок несостоявшимся;</w:t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  <w:tab w:val="left" w:pos="426" w:leader="none"/>
        </w:tabs>
        <w:spacing w:lineRule="auto" w:line="276"/>
        <w:jc w:val="both"/>
        <w:rPr>
          <w:bCs/>
          <w:sz w:val="20"/>
          <w:szCs w:val="20"/>
        </w:rPr>
      </w:pPr>
      <w:r>
        <w:rPr>
          <w:sz w:val="20"/>
          <w:szCs w:val="20"/>
        </w:rPr>
        <w:t xml:space="preserve">4.3. на основании пункта 13.3.7 Положения о закупке товаров, работ, услуг АО «Татавтодор» заключить договор </w:t>
      </w:r>
      <w:r>
        <w:rPr>
          <w:bCs/>
          <w:sz w:val="20"/>
          <w:szCs w:val="20"/>
        </w:rPr>
        <w:t xml:space="preserve">на </w:t>
      </w:r>
      <w:r>
        <w:rPr>
          <w:bCs/>
          <w:iCs/>
          <w:color w:val="002060"/>
          <w:sz w:val="20"/>
          <w:szCs w:val="20"/>
        </w:rPr>
        <w:t xml:space="preserve">выполнение </w:t>
      </w:r>
      <w:r>
        <w:rPr>
          <w:bCs/>
          <w:iCs/>
          <w:color w:val="002060"/>
          <w:sz w:val="20"/>
          <w:szCs w:val="22"/>
        </w:rPr>
        <w:t xml:space="preserve">работ </w:t>
      </w:r>
      <w:r>
        <w:rPr>
          <w:bCs/>
          <w:iCs/>
          <w:color w:val="002060"/>
          <w:sz w:val="20"/>
          <w:szCs w:val="20"/>
        </w:rPr>
        <w:t xml:space="preserve">по ремонту кабины КДМ ЭД-500АК КамАЗ-65115 </w:t>
      </w:r>
      <w:r>
        <w:rPr>
          <w:bCs/>
          <w:color w:val="002060"/>
          <w:sz w:val="20"/>
          <w:szCs w:val="20"/>
        </w:rPr>
        <w:t>в соответствии с техническим заданием</w:t>
      </w:r>
      <w:r>
        <w:rPr>
          <w:sz w:val="20"/>
          <w:szCs w:val="20"/>
        </w:rPr>
        <w:t xml:space="preserve"> с </w:t>
      </w:r>
      <w:r>
        <w:rPr>
          <w:bCs/>
          <w:sz w:val="20"/>
          <w:szCs w:val="20"/>
        </w:rPr>
        <w:t xml:space="preserve">участником, подавшим </w:t>
      </w:r>
      <w:r>
        <w:rPr>
          <w:bCs/>
          <w:i/>
          <w:sz w:val="20"/>
          <w:szCs w:val="20"/>
        </w:rPr>
        <w:t>заявку № 1</w:t>
      </w:r>
      <w:r>
        <w:rPr>
          <w:bCs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на сумму </w:t>
      </w:r>
      <w:r>
        <w:rPr>
          <w:i/>
          <w:sz w:val="20"/>
          <w:szCs w:val="20"/>
        </w:rPr>
        <w:t xml:space="preserve">982 264,33 </w:t>
      </w:r>
      <w:r>
        <w:rPr>
          <w:bCs/>
          <w:i/>
          <w:sz w:val="20"/>
          <w:szCs w:val="20"/>
        </w:rPr>
        <w:t xml:space="preserve">рублей с </w:t>
      </w:r>
      <w:r>
        <w:rPr>
          <w:rFonts w:eastAsia="Calibri"/>
          <w:i/>
          <w:kern w:val="2"/>
          <w:sz w:val="20"/>
          <w:szCs w:val="22"/>
        </w:rPr>
        <w:t>учетом всех налогов и сборов</w:t>
      </w:r>
      <w:r>
        <w:rPr>
          <w:bCs/>
          <w:sz w:val="20"/>
          <w:szCs w:val="20"/>
        </w:rPr>
        <w:t xml:space="preserve"> (по цене за единицу товара/работ, предложенной участником закупки) на условиях, предусмотренных заявкой на участие в закупке и извещением о проведении закупки.</w:t>
      </w:r>
    </w:p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5244"/>
      </w:tblGrid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Решение члена комиссии</w:t>
            </w:r>
          </w:p>
        </w:tc>
      </w:tr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Порфирьев С.Ю.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заключить договор</w:t>
            </w:r>
          </w:p>
        </w:tc>
      </w:tr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Ушанов В.А.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заключить договор</w:t>
            </w:r>
          </w:p>
        </w:tc>
      </w:tr>
      <w:tr>
        <w:trPr>
          <w:trHeight w:val="28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Алёшкин А.В.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suppressAutoHyphens w:val="tru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заключить договор</w:t>
            </w:r>
          </w:p>
        </w:tc>
      </w:tr>
    </w:tbl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  <w:t>Подписи:</w:t>
      </w:r>
    </w:p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245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2693"/>
      </w:tblGrid>
      <w:tr>
        <w:trPr>
          <w:trHeight w:val="397" w:hRule="atLeast"/>
          <w:cantSplit w:val="true"/>
        </w:trPr>
        <w:tc>
          <w:tcPr>
            <w:tcW w:w="2552" w:type="dxa"/>
            <w:tcBorders/>
          </w:tcPr>
          <w:p>
            <w:pPr>
              <w:pStyle w:val="Normal"/>
              <w:spacing w:before="120" w:after="120"/>
              <w:rPr/>
            </w:pPr>
            <w:r>
              <w:rPr>
                <w:sz w:val="20"/>
                <w:szCs w:val="20"/>
              </w:rPr>
              <w:t>Порфирьев С.Ю.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</w:t>
            </w:r>
          </w:p>
        </w:tc>
      </w:tr>
      <w:tr>
        <w:trPr>
          <w:trHeight w:val="397" w:hRule="atLeast"/>
          <w:cantSplit w:val="true"/>
        </w:trPr>
        <w:tc>
          <w:tcPr>
            <w:tcW w:w="2552" w:type="dxa"/>
            <w:tcBorders/>
          </w:tcPr>
          <w:p>
            <w:pPr>
              <w:pStyle w:val="Normal"/>
              <w:spacing w:before="120" w:after="120"/>
              <w:rPr/>
            </w:pPr>
            <w:r>
              <w:rPr>
                <w:sz w:val="20"/>
                <w:szCs w:val="20"/>
              </w:rPr>
              <w:t>Ушанов В.А.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</w:t>
            </w:r>
          </w:p>
        </w:tc>
      </w:tr>
      <w:tr>
        <w:trPr>
          <w:trHeight w:val="397" w:hRule="atLeast"/>
          <w:cantSplit w:val="true"/>
        </w:trPr>
        <w:tc>
          <w:tcPr>
            <w:tcW w:w="2552" w:type="dxa"/>
            <w:tcBorders/>
          </w:tcPr>
          <w:p>
            <w:pPr>
              <w:pStyle w:val="Normal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Алёшкин А.В.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</w:t>
            </w:r>
          </w:p>
        </w:tc>
      </w:tr>
      <w:tr>
        <w:trPr>
          <w:trHeight w:val="397" w:hRule="atLeast"/>
          <w:cantSplit w:val="true"/>
        </w:trPr>
        <w:tc>
          <w:tcPr>
            <w:tcW w:w="2552" w:type="dxa"/>
            <w:tcBorders/>
          </w:tcPr>
          <w:p>
            <w:pPr>
              <w:pStyle w:val="Normal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Бусургина Н.Н.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</w:t>
            </w:r>
          </w:p>
        </w:tc>
      </w:tr>
    </w:tbl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  <w:tab w:val="left" w:pos="567" w:leader="none"/>
        </w:tabs>
        <w:spacing w:lineRule="auto" w:line="276"/>
        <w:jc w:val="both"/>
        <w:rPr>
          <w:sz w:val="20"/>
          <w:szCs w:val="20"/>
        </w:rPr>
      </w:pPr>
      <w:r>
        <w:rPr>
          <w:sz w:val="20"/>
          <w:szCs w:val="20"/>
        </w:rPr>
        <w:t>Дата подписания протокола ____________________</w:t>
      </w:r>
    </w:p>
    <w:p>
      <w:pPr>
        <w:pStyle w:val="Normal"/>
        <w:tabs>
          <w:tab w:val="clear" w:pos="708"/>
          <w:tab w:val="left" w:pos="0" w:leader="none"/>
        </w:tabs>
        <w:jc w:val="center"/>
        <w:rPr>
          <w:rFonts w:eastAsia="Arial Unicode MS"/>
          <w:b/>
          <w:bCs/>
          <w:caps/>
          <w:sz w:val="20"/>
          <w:szCs w:val="20"/>
        </w:rPr>
      </w:pPr>
      <w:r>
        <w:rPr>
          <w:rFonts w:eastAsia="Arial Unicode MS"/>
          <w:b/>
          <w:bCs/>
          <w:caps/>
          <w:sz w:val="20"/>
          <w:szCs w:val="20"/>
        </w:rPr>
      </w:r>
    </w:p>
    <w:sectPr>
      <w:type w:val="nextPage"/>
      <w:pgSz w:w="11906" w:h="16838"/>
      <w:pgMar w:left="1134" w:right="567" w:gutter="0" w:header="0" w:top="567" w:footer="0" w:bottom="56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color w:val="000000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720" w:hanging="360"/>
      </w:pPr>
      <w:rPr>
        <w:b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/>
      <w:i w:val="false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>
      <w:color w:val="201D1E"/>
      <w:sz w:val="22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Times New Roman" w:hAnsi="Times New Roman" w:eastAsia="Times New Roman" w:cs="Times New Roman"/>
      <w:color w:val="000000"/>
    </w:rPr>
  </w:style>
  <w:style w:type="character" w:styleId="WW8Num32z1">
    <w:name w:val="WW8Num32z1"/>
    <w:qFormat/>
    <w:rPr>
      <w:b w:val="false"/>
    </w:rPr>
  </w:style>
  <w:style w:type="character" w:styleId="WW8Num32z2">
    <w:name w:val="WW8Num32z2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rong">
    <w:name w:val="Strong"/>
    <w:qFormat/>
    <w:rPr>
      <w:b/>
      <w:bCs/>
    </w:rPr>
  </w:style>
  <w:style w:type="character" w:styleId="Style14">
    <w:name w:val="Основной текст с отступом Знак"/>
    <w:qFormat/>
    <w:rPr>
      <w:sz w:val="24"/>
      <w:szCs w:val="24"/>
    </w:rPr>
  </w:style>
  <w:style w:type="character" w:styleId="Style15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jc w:val="both"/>
    </w:pPr>
    <w:rPr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Cs w:val="20"/>
    </w:rPr>
  </w:style>
  <w:style w:type="paragraph" w:styleId="Style16">
    <w:name w:val=" Знак Знак Знак Знак Знак Знак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Style17">
    <w:name w:val="Таблица центр"/>
    <w:qFormat/>
    <w:pPr>
      <w:widowControl/>
      <w:bidi w:val="0"/>
      <w:jc w:val="center"/>
    </w:pPr>
    <w:rPr>
      <w:rFonts w:ascii="Times New Roman" w:hAnsi="Times New Roman" w:eastAsia="Times New Roman" w:cs="Times New Roman"/>
      <w:color w:val="auto"/>
      <w:sz w:val="20"/>
      <w:szCs w:val="24"/>
      <w:lang w:val="ru-RU" w:bidi="ar-SA" w:eastAsia="zh-CN"/>
    </w:rPr>
  </w:style>
  <w:style w:type="paragraph" w:styleId="1">
    <w:name w:val=" Знак Знак1 Знак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1">
    <w:name w:val=" Знак Знак Знак2 Знак Знак Знак1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1617">
    <w:name w:val=" Знак Знак Знак2 Знак Знак Знак1 Знак Знак Знак16 Знак Знак Знак Знак Знак Знак1 Знак Знак Знак7"/>
    <w:basedOn w:val="Normal"/>
    <w:qFormat/>
    <w:pPr>
      <w:spacing w:lineRule="exact" w:line="240" w:before="0" w:after="160"/>
    </w:pPr>
    <w:rPr>
      <w:rFonts w:ascii="Tahoma" w:hAnsi="Tahoma" w:cs="Tahoma"/>
      <w:sz w:val="18"/>
      <w:szCs w:val="18"/>
      <w:lang w:val="en-US"/>
    </w:rPr>
  </w:style>
  <w:style w:type="paragraph" w:styleId="11">
    <w:name w:val="Стиль1"/>
    <w:basedOn w:val="Normal"/>
    <w:qFormat/>
    <w:pPr>
      <w:spacing w:lineRule="auto" w:line="288"/>
    </w:pPr>
    <w:rPr>
      <w:sz w:val="28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1">
    <w:name w:val="Содержимое таблицы"/>
    <w:basedOn w:val="Normal"/>
    <w:qFormat/>
    <w:pPr>
      <w:widowControl w:val="false"/>
      <w:suppressLineNumbers/>
      <w:suppressAutoHyphens w:val="true"/>
    </w:pPr>
    <w:rPr>
      <w:rFonts w:eastAsia="Lucida Sans Unicode"/>
      <w:kern w:val="2"/>
    </w:rPr>
  </w:style>
  <w:style w:type="paragraph" w:styleId="Style22">
    <w:name w:val="Перечисление"/>
    <w:qFormat/>
    <w:pPr>
      <w:keepNext w:val="true"/>
      <w:widowControl/>
      <w:tabs>
        <w:tab w:val="clear" w:pos="708"/>
        <w:tab w:val="left" w:pos="432" w:leader="none"/>
      </w:tabs>
      <w:bidi w:val="0"/>
      <w:spacing w:before="60" w:after="60"/>
      <w:ind w:hanging="432" w:start="432" w:end="0"/>
      <w:jc w:val="both"/>
    </w:pPr>
    <w:rPr>
      <w:rFonts w:ascii="Times New Roman" w:hAnsi="Times New Roman" w:eastAsia="Times New Roman" w:cs="Times New Roman"/>
      <w:color w:val="auto"/>
      <w:sz w:val="26"/>
      <w:szCs w:val="20"/>
      <w:lang w:val="ru-RU" w:bidi="ar-SA" w:eastAsia="zh-CN"/>
    </w:rPr>
  </w:style>
  <w:style w:type="paragraph" w:styleId="-6">
    <w:name w:val="Пункт-6"/>
    <w:basedOn w:val="Normal"/>
    <w:qFormat/>
    <w:pPr>
      <w:tabs>
        <w:tab w:val="clear" w:pos="708"/>
        <w:tab w:val="left" w:pos="2034" w:leader="none"/>
      </w:tabs>
      <w:spacing w:lineRule="auto" w:line="288"/>
      <w:ind w:firstLine="567" w:start="333" w:end="0"/>
      <w:jc w:val="both"/>
    </w:pPr>
    <w:rPr>
      <w:sz w:val="28"/>
    </w:rPr>
  </w:style>
  <w:style w:type="paragraph" w:styleId="Style23">
    <w:name w:val="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2019-11-28T06:16:00Z</dcterms:created>
  <dc:creator>MikhaylovaNV</dc:creator>
  <dc:description/>
  <cp:keywords/>
  <dc:language>en-US</dc:language>
  <cp:lastModifiedBy>Бусургина Надежда Николаевна</cp:lastModifiedBy>
  <cp:lastPrinted>2020-05-22T09:17:00Z</cp:lastPrinted>
  <dcterms:modified xsi:type="dcterms:W3CDTF">2025-03-03T06:12:00Z</dcterms:modified>
  <cp:revision>61</cp:revision>
  <dc:subject/>
  <dc:title>УТВЕРЖДАЮ</dc:title>
</cp:coreProperties>
</file>