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42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05"/>
        <w:gridCol w:w="2856"/>
        <w:gridCol w:w="3860"/>
      </w:tblGrid>
      <w:tr>
        <w:trPr>
          <w:trHeight w:val="389" w:hRule="atLeast"/>
        </w:trPr>
        <w:tc>
          <w:tcPr>
            <w:tcW w:w="3705" w:type="dxa"/>
            <w:tcBorders/>
            <w:vAlign w:val="center"/>
          </w:tcPr>
          <w:p>
            <w:pPr>
              <w:pStyle w:val="Normal"/>
              <w:ind w:start="34" w:end="0"/>
              <w:rPr/>
            </w:pPr>
            <w:r>
              <w:rPr>
                <w:sz w:val="22"/>
                <w:szCs w:val="22"/>
              </w:rPr>
              <w:t>«11» декабря 2025 г.</w:t>
            </w:r>
          </w:p>
        </w:tc>
        <w:tc>
          <w:tcPr>
            <w:tcW w:w="2856" w:type="dxa"/>
            <w:tcBorders/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860" w:type="dxa"/>
            <w:tcBorders/>
          </w:tcPr>
          <w:p>
            <w:pPr>
              <w:pStyle w:val="Normal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 xml:space="preserve">                                                      № </w:t>
            </w:r>
            <w:r>
              <w:rPr>
                <w:sz w:val="22"/>
                <w:szCs w:val="22"/>
              </w:rPr>
              <w:t>648</w:t>
            </w:r>
          </w:p>
        </w:tc>
      </w:tr>
    </w:tbl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  <w:t>г. Москва, ул. Бо</w:t>
      </w:r>
      <w:r>
        <w:rPr>
          <w:sz w:val="22"/>
          <w:szCs w:val="22"/>
        </w:rPr>
        <w:t>льшая Внуковская, д. 2А, стр. 1</w:t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autoSpaceDE w:val="false"/>
        <w:ind w:firstLine="708" w:end="0"/>
        <w:jc w:val="both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Состав Комиссии по осуществлению закупок товаров, работ, услуг филиала «МЦ АУВД» ФГУП «Госкорпорация по ОрВД» в соответствии с требованиями, установленными Федеральным законом от 18.07.2011 № 223-ФЗ «О закупках товаров, работ, услуг отдельными видами юридических лиц» (далее – Комиссия)</w:t>
      </w:r>
      <w:r>
        <w:rPr>
          <w:sz w:val="22"/>
          <w:szCs w:val="22"/>
        </w:rPr>
        <w:t>: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Председатель Комиссии: </w:t>
      </w:r>
      <w:r>
        <w:rPr>
          <w:sz w:val="22"/>
          <w:szCs w:val="22"/>
        </w:rPr>
        <w:t>А.А. Веснин.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r>
        <w:rPr>
          <w:b/>
          <w:sz w:val="22"/>
          <w:szCs w:val="22"/>
        </w:rPr>
        <w:t>Заместители председателя Комиссии:</w:t>
      </w:r>
      <w:r>
        <w:rPr>
          <w:sz w:val="22"/>
          <w:szCs w:val="22"/>
        </w:rPr>
        <w:t xml:space="preserve"> Т.В. Кортелева; О.Е. Ефремов.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r>
        <w:rPr>
          <w:b/>
          <w:sz w:val="22"/>
          <w:szCs w:val="22"/>
        </w:rPr>
        <w:t>Члены Комиссии:</w:t>
      </w:r>
      <w:r>
        <w:rPr>
          <w:sz w:val="22"/>
          <w:szCs w:val="22"/>
        </w:rPr>
        <w:t xml:space="preserve"> А.Ю. Палагин; А.Ю. Бацев; И.В. Буряков; А.В. Поспелов; Т.А. Богданова; </w:t>
        <w:br/>
        <w:t>М.М. Павличук; Н.Н. Кожевникова; А.В. Сапожникова.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r>
        <w:rPr>
          <w:b/>
          <w:sz w:val="22"/>
          <w:szCs w:val="22"/>
        </w:rPr>
        <w:t xml:space="preserve">Секретарь Комиссии (без права голоса): </w:t>
      </w:r>
      <w:r>
        <w:rPr>
          <w:sz w:val="22"/>
          <w:szCs w:val="22"/>
        </w:rPr>
        <w:t>Т.А. Ямщикова.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Заседание проводилось в присутствии 11 из 11 членов Комиссии, имеющих право голоса. Кворум имеется, Комиссия правомочна принимать решения по вопросам повестки дня</w:t>
      </w:r>
      <w:r>
        <w:rPr>
          <w:bCs/>
          <w:sz w:val="22"/>
          <w:szCs w:val="22"/>
        </w:rPr>
        <w:t>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Повестка дня: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Повесткой дня является признание конкурентной закупки несостоявшейся и принятие решения в связи с признанием конкурентной закупки несостоявшейся.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r>
        <w:rPr>
          <w:rFonts w:eastAsia="Calibri"/>
          <w:sz w:val="22"/>
          <w:szCs w:val="22"/>
        </w:rPr>
        <w:t xml:space="preserve">Извещение о проведении запроса котировок в электронной форме было размещено на официальном сайте </w:t>
      </w:r>
      <w:hyperlink r:id="rId2">
        <w:r>
          <w:rPr>
            <w:rStyle w:val="Hyperlink"/>
            <w:rFonts w:eastAsia="Calibri"/>
            <w:sz w:val="22"/>
            <w:szCs w:val="22"/>
          </w:rPr>
          <w:t>www.zakupki.gov.ru</w:t>
        </w:r>
      </w:hyperlink>
      <w:r>
        <w:rPr>
          <w:rFonts w:eastAsia="Calibri"/>
          <w:sz w:val="22"/>
          <w:szCs w:val="22"/>
        </w:rPr>
        <w:t xml:space="preserve"> и на сайте электронной торговой площадки «Фабрикант» (www.fabrikant.ru)</w:t>
      </w:r>
      <w:r>
        <w:rPr>
          <w:bCs/>
          <w:sz w:val="22"/>
          <w:szCs w:val="22"/>
        </w:rPr>
        <w:t xml:space="preserve"> (извещение от 20.11.2025 № 32515427162).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r>
        <w:rPr>
          <w:sz w:val="22"/>
          <w:szCs w:val="22"/>
        </w:rPr>
        <w:t>Дата, время окончания приема заявок – 08 декабря 2025 года в 11:00.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r>
        <w:rPr>
          <w:sz w:val="22"/>
          <w:szCs w:val="22"/>
        </w:rPr>
        <w:t xml:space="preserve">Дата, место </w:t>
      </w:r>
      <w:r>
        <w:rPr>
          <w:bCs/>
          <w:sz w:val="22"/>
          <w:szCs w:val="22"/>
        </w:rPr>
        <w:t xml:space="preserve">принятия решения </w:t>
      </w:r>
      <w:r>
        <w:rPr>
          <w:sz w:val="22"/>
          <w:szCs w:val="22"/>
        </w:rPr>
        <w:t>– 11 декабря 2025 года по адресу: Российская Федерация, 119027, г. Москва, ул. Большая Внуковская, д. 2А, стр. 1.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bCs/>
          <w:sz w:val="22"/>
          <w:szCs w:val="22"/>
          <w:highlight w:val="yellow"/>
        </w:rPr>
      </w:pPr>
      <w:r>
        <w:rPr>
          <w:bCs/>
          <w:sz w:val="22"/>
          <w:szCs w:val="22"/>
          <w:highlight w:val="yellow"/>
        </w:rPr>
      </w:r>
    </w:p>
    <w:p>
      <w:pPr>
        <w:pStyle w:val="Normal"/>
        <w:ind w:firstLine="709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Существенные условия договора: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bCs/>
          <w:sz w:val="22"/>
          <w:szCs w:val="22"/>
        </w:rPr>
      </w:pPr>
      <w:r>
        <w:rPr>
          <w:bCs/>
          <w:sz w:val="22"/>
          <w:szCs w:val="22"/>
        </w:rPr>
        <w:t>Номер и наименование предмета закупки – 32515427162 «Поставка трассопоискового комплекса».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r>
        <w:rPr>
          <w:bCs/>
          <w:sz w:val="22"/>
          <w:szCs w:val="22"/>
        </w:rPr>
        <w:t>Начальная (максимальная) цена договора – 350 000,00 (Триста пятьдесят тысяч) рублей 00 копеек, в том числе НДС.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bCs/>
          <w:sz w:val="22"/>
          <w:szCs w:val="22"/>
        </w:rPr>
      </w:pPr>
      <w:r>
        <w:rPr>
          <w:bCs/>
          <w:sz w:val="22"/>
          <w:szCs w:val="22"/>
        </w:rPr>
        <w:t>Место поставки Товара – 141426, Московская область, г. Химки, аэропорт Шереметьево, Шереметьевский центр ОВД.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r>
        <w:rPr>
          <w:bCs/>
          <w:sz w:val="22"/>
          <w:szCs w:val="22"/>
        </w:rPr>
        <w:t>Срок поставки Товара – 90 (девяносто) календарных дней с даты подписания Договора.</w:t>
      </w:r>
    </w:p>
    <w:p>
      <w:pPr>
        <w:pStyle w:val="Normal"/>
        <w:ind w:firstLine="709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Требования, предъявляемые к участникам – </w:t>
      </w:r>
      <w:r>
        <w:rPr>
          <w:bCs/>
          <w:sz w:val="22"/>
          <w:szCs w:val="22"/>
        </w:rPr>
        <w:t>отсутствие сведений об Участнике закупки в реестре недобросовестных поставщиков, предусмотренном Федеральным законом от 18.07.2011 № 223-ФЗ «О закупках товаров, работ, услуг отдельными видами юридических лиц» и в реестре недобросовестных поставщиков, предусмотренном Федеральным законом от 05.04.2013 № 44-ФЗ «О контрактной системе в сфере закупок товаров, работ, услуг для обеспечения государственных и муниципальных нужд».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/>
      </w:pPr>
      <w:r>
        <w:rPr>
          <w:bCs/>
          <w:sz w:val="22"/>
          <w:szCs w:val="22"/>
        </w:rPr>
        <w:t xml:space="preserve">Подача заявок осуществлялась в электронной форме через оператора торгов </w:t>
      </w:r>
      <w:r>
        <w:rPr>
          <w:sz w:val="22"/>
          <w:szCs w:val="22"/>
        </w:rPr>
        <w:t>АО «ЭТС»</w:t>
      </w:r>
      <w:r>
        <w:rPr>
          <w:bCs/>
          <w:sz w:val="22"/>
          <w:szCs w:val="22"/>
        </w:rPr>
        <w:t>.</w:t>
      </w:r>
    </w:p>
    <w:p>
      <w:pPr>
        <w:pStyle w:val="Normal"/>
        <w:ind w:firstLine="709" w:end="0"/>
        <w:jc w:val="both"/>
        <w:rPr>
          <w:sz w:val="22"/>
          <w:szCs w:val="22"/>
        </w:rPr>
      </w:pPr>
      <w:r>
        <w:rPr>
          <w:sz w:val="22"/>
          <w:szCs w:val="22"/>
        </w:rPr>
        <w:t>По окончании срока приема заявок на участие в процедуре закупки не подано ни одной заявки.</w:t>
      </w:r>
    </w:p>
    <w:p>
      <w:pPr>
        <w:pStyle w:val="Normal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0"/>
        </w:numPr>
        <w:ind w:firstLine="709" w:end="0"/>
        <w:jc w:val="both"/>
        <w:outlineLvl w:val="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Решение Комиссии:</w:t>
      </w:r>
    </w:p>
    <w:p>
      <w:pPr>
        <w:pStyle w:val="Normal"/>
        <w:ind w:firstLine="708" w:end="0"/>
        <w:jc w:val="both"/>
        <w:rPr/>
      </w:pPr>
      <w:r>
        <w:rPr>
          <w:bCs/>
          <w:sz w:val="22"/>
          <w:szCs w:val="22"/>
        </w:rPr>
        <w:t xml:space="preserve">На основании ч. 1 ст. 24 </w:t>
      </w:r>
      <w:r>
        <w:rPr>
          <w:sz w:val="22"/>
          <w:szCs w:val="22"/>
        </w:rPr>
        <w:t>Положения о закупке товаров, работ, услуг ФГУП «Госкорпорация по ОрВД», утвержденного приказом ФГУП «Госкорпорация по ОрВД» от 23.05.2025 № 455-П (далее – Положение о закупке),</w:t>
      </w:r>
      <w:r>
        <w:rPr>
          <w:bCs/>
          <w:sz w:val="22"/>
          <w:szCs w:val="22"/>
        </w:rPr>
        <w:t xml:space="preserve"> запрос котировок в электронной форме признан несостоявшимся.</w:t>
      </w:r>
    </w:p>
    <w:p>
      <w:pPr>
        <w:pStyle w:val="Normal"/>
        <w:widowControl w:val="false"/>
        <w:ind w:firstLine="708" w:end="0"/>
        <w:jc w:val="both"/>
        <w:rPr/>
      </w:pPr>
      <w:r>
        <w:rPr>
          <w:sz w:val="22"/>
          <w:szCs w:val="22"/>
        </w:rPr>
        <w:t>На основании п. 2 ч. 2 ст. 24 Положения о закупке Комиссия, учитывая мнение инициатора закупки, рекомендует Заказчику принять решение об отказе от осуществления закупки.</w:t>
      </w:r>
    </w:p>
    <w:p>
      <w:pPr>
        <w:pStyle w:val="Normal"/>
        <w:ind w:firstLine="708" w:end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Публикация и хранение протокола:</w:t>
      </w:r>
    </w:p>
    <w:p>
      <w:pPr>
        <w:pStyle w:val="Normal"/>
        <w:ind w:firstLine="709" w:end="0"/>
        <w:jc w:val="both"/>
        <w:rPr>
          <w:sz w:val="22"/>
          <w:szCs w:val="22"/>
        </w:rPr>
      </w:pPr>
      <w:r>
        <w:rPr>
          <w:sz w:val="22"/>
          <w:szCs w:val="22"/>
        </w:rPr>
        <w:t>Настоящий протокол направляется оператору электронной площадки АО «ЭТС», по адресу в сети «Интернет»: www.fabrikant.ru.</w:t>
      </w:r>
    </w:p>
    <w:p>
      <w:pPr>
        <w:pStyle w:val="Normal"/>
        <w:ind w:firstLine="709" w:end="0"/>
        <w:jc w:val="both"/>
        <w:rPr>
          <w:bCs/>
          <w:sz w:val="22"/>
          <w:szCs w:val="22"/>
        </w:rPr>
      </w:pPr>
      <w:r>
        <w:rPr>
          <w:sz w:val="22"/>
          <w:szCs w:val="22"/>
        </w:rPr>
        <w:t xml:space="preserve">Настоящий протокол подлежит хранению не менее трех лет с даты подведения итогов настоящего </w:t>
      </w:r>
      <w:r>
        <w:rPr>
          <w:bCs/>
          <w:sz w:val="22"/>
          <w:szCs w:val="22"/>
        </w:rPr>
        <w:t>запроса котировок в электронной форме.</w:t>
      </w:r>
    </w:p>
    <w:p>
      <w:pPr>
        <w:pStyle w:val="Normal"/>
        <w:ind w:firstLine="709" w:end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tbl>
      <w:tblPr>
        <w:tblW w:w="10563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46"/>
        <w:gridCol w:w="3661"/>
        <w:gridCol w:w="2856"/>
      </w:tblGrid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jc w:val="both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Председатель Комиссии:</w:t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Веснин Артем Анатольевич</w:t>
            </w:r>
          </w:p>
        </w:tc>
        <w:tc>
          <w:tcPr>
            <w:tcW w:w="2856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jc w:val="both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Заместители председателя Комиссии:</w:t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Кортелева Татьяна Витальевна</w:t>
            </w:r>
          </w:p>
        </w:tc>
        <w:tc>
          <w:tcPr>
            <w:tcW w:w="2856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Ефремов Олег Евгеньевич</w:t>
            </w:r>
          </w:p>
        </w:tc>
        <w:tc>
          <w:tcPr>
            <w:tcW w:w="2856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jc w:val="both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Члены Комиссии:</w:t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outlineLvl w:val="2"/>
              <w:rPr>
                <w:strike/>
                <w:sz w:val="22"/>
                <w:szCs w:val="22"/>
              </w:rPr>
            </w:pPr>
            <w:r>
              <w:rPr>
                <w:sz w:val="22"/>
                <w:szCs w:val="22"/>
              </w:rPr>
              <w:t>Палагин Алексей Юрьевич</w:t>
            </w:r>
          </w:p>
        </w:tc>
        <w:tc>
          <w:tcPr>
            <w:tcW w:w="2856" w:type="dxa"/>
            <w:tcBorders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trike/>
                <w:sz w:val="22"/>
                <w:szCs w:val="22"/>
                <w:highlight w:val="yellow"/>
              </w:rPr>
            </w:pPr>
            <w:r>
              <w:rPr>
                <w:strike/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z w:val="22"/>
                <w:szCs w:val="22"/>
                <w:highlight w:val="yellow"/>
              </w:rPr>
            </w:pPr>
            <w:r>
              <w:rPr>
                <w:sz w:val="22"/>
                <w:szCs w:val="22"/>
                <w:highlight w:val="yellow"/>
              </w:rPr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Бацев Александр Юрьевич</w:t>
            </w:r>
          </w:p>
        </w:tc>
        <w:tc>
          <w:tcPr>
            <w:tcW w:w="28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Буряков Игорь Викторович</w:t>
            </w:r>
          </w:p>
        </w:tc>
        <w:tc>
          <w:tcPr>
            <w:tcW w:w="28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Поспелов Артем Валерьевич</w:t>
            </w:r>
          </w:p>
        </w:tc>
        <w:tc>
          <w:tcPr>
            <w:tcW w:w="28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Павличук Михаил Михайлович</w:t>
            </w:r>
          </w:p>
        </w:tc>
        <w:tc>
          <w:tcPr>
            <w:tcW w:w="28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Богданова Татьяна Александровна</w:t>
            </w:r>
          </w:p>
        </w:tc>
        <w:tc>
          <w:tcPr>
            <w:tcW w:w="28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Кожевникова Наталья Николаевна</w:t>
            </w:r>
          </w:p>
        </w:tc>
        <w:tc>
          <w:tcPr>
            <w:tcW w:w="28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  <w:tc>
          <w:tcPr>
            <w:tcW w:w="3661" w:type="dxa"/>
            <w:tcBorders/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Сапожникова Алевтина Викторовна</w:t>
            </w:r>
          </w:p>
        </w:tc>
        <w:tc>
          <w:tcPr>
            <w:tcW w:w="28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pacing w:val="-2"/>
                <w:sz w:val="22"/>
                <w:szCs w:val="22"/>
                <w:highlight w:val="yellow"/>
              </w:rPr>
            </w:pPr>
            <w:r>
              <w:rPr>
                <w:spacing w:val="-2"/>
                <w:sz w:val="22"/>
                <w:szCs w:val="22"/>
                <w:highlight w:val="yellow"/>
              </w:rPr>
            </w:r>
          </w:p>
        </w:tc>
      </w:tr>
      <w:tr>
        <w:trPr>
          <w:trHeight w:val="210" w:hRule="atLeast"/>
        </w:trPr>
        <w:tc>
          <w:tcPr>
            <w:tcW w:w="4046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jc w:val="both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 Комиссии (без права голоса):</w:t>
            </w:r>
          </w:p>
        </w:tc>
        <w:tc>
          <w:tcPr>
            <w:tcW w:w="3661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jc w:val="both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Ямщикова Татьяна Александровна</w:t>
            </w:r>
          </w:p>
        </w:tc>
        <w:tc>
          <w:tcPr>
            <w:tcW w:w="285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jc w:val="both"/>
        <w:rPr>
          <w:b/>
          <w:sz w:val="22"/>
          <w:szCs w:val="22"/>
          <w:highlight w:val="yellow"/>
        </w:rPr>
      </w:pPr>
      <w:r>
        <w:rPr>
          <w:b/>
          <w:sz w:val="22"/>
          <w:szCs w:val="22"/>
          <w:highlight w:val="yellow"/>
        </w:rPr>
      </w:r>
    </w:p>
    <w:p>
      <w:pPr>
        <w:pStyle w:val="Normal"/>
        <w:ind w:firstLine="709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Решение Заказчика: </w:t>
      </w:r>
    </w:p>
    <w:p>
      <w:pPr>
        <w:pStyle w:val="Normal"/>
        <w:numPr>
          <w:ilvl w:val="0"/>
          <w:numId w:val="0"/>
        </w:numPr>
        <w:ind w:firstLine="708" w:end="0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На основании п. 2 ч. 2 ст. 24 Положения о закупке, руководствуясь рекомендацией Комиссии и мнением инициатора закупки, принято решение об отказе от осуществления закупки.</w:t>
      </w:r>
    </w:p>
    <w:p>
      <w:pPr>
        <w:pStyle w:val="Normal"/>
        <w:numPr>
          <w:ilvl w:val="0"/>
          <w:numId w:val="0"/>
        </w:numPr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tbl>
      <w:tblPr>
        <w:tblW w:w="105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94"/>
        <w:gridCol w:w="4368"/>
        <w:gridCol w:w="2338"/>
      </w:tblGrid>
      <w:tr>
        <w:trPr>
          <w:trHeight w:val="514" w:hRule="atLeast"/>
        </w:trPr>
        <w:tc>
          <w:tcPr>
            <w:tcW w:w="3794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ind w:start="-6" w:end="0"/>
              <w:jc w:val="both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Директор филиала «МЦ АУВД» ФГУП «Госкорпорация по ОрВД»</w:t>
            </w:r>
          </w:p>
        </w:tc>
        <w:tc>
          <w:tcPr>
            <w:tcW w:w="4368" w:type="dxa"/>
            <w:tcBorders/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ind w:hanging="6" w:end="0"/>
              <w:jc w:val="both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2338" w:type="dxa"/>
            <w:tcBorders/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hanging="6" w:end="0"/>
              <w:jc w:val="end"/>
              <w:outlineLvl w:val="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А.В. Белавинцев</w:t>
            </w:r>
          </w:p>
        </w:tc>
      </w:tr>
    </w:tbl>
    <w:p>
      <w:pPr>
        <w:pStyle w:val="Normal"/>
        <w:ind w:firstLine="709" w:end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</w:r>
    </w:p>
    <w:sectPr>
      <w:headerReference w:type="default" r:id="rId3"/>
      <w:headerReference w:type="first" r:id="rId4"/>
      <w:type w:val="nextPage"/>
      <w:pgSz w:w="11906" w:h="16838"/>
      <w:pgMar w:left="1134" w:right="567" w:gutter="0" w:header="284" w:top="709" w:footer="0" w:bottom="709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Segoe U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TimesNewRomanPSMT">
    <w:altName w:val="Malgun Gothic Semilight"/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Tahoma">
    <w:charset w:val="cc" w:characterSet="windows-1251"/>
    <w:family w:val="swiss"/>
    <w:pitch w:val="variable"/>
  </w:font>
  <w:font w:name="Calibri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360"/>
      <w:jc w:val="center"/>
      <w:rPr>
        <w:rFonts w:ascii="Calibri" w:hAnsi="Calibri" w:cs="Calibri"/>
        <w:b/>
        <w:color w:val="002060"/>
        <w:sz w:val="32"/>
        <w:szCs w:val="32"/>
        <w:lang w:val="en-US" w:eastAsia="en-US"/>
      </w:rPr>
    </w:pPr>
    <w:r>
      <w:rPr>
        <w:rFonts w:cs="Calibri" w:ascii="Calibri" w:hAnsi="Calibri"/>
        <w:b/>
        <w:color w:val="002060"/>
        <w:sz w:val="32"/>
        <w:szCs w:val="32"/>
        <w:lang w:val="en-US" w:eastAsia="en-US"/>
      </w:rPr>
      <w:drawing>
        <wp:anchor behindDoc="1" distT="0" distB="0" distL="114935" distR="114935" simplePos="0" locked="0" layoutInCell="1" allowOverlap="1" relativeHeight="2">
          <wp:simplePos x="0" y="0"/>
          <wp:positionH relativeFrom="column">
            <wp:posOffset>-629920</wp:posOffset>
          </wp:positionH>
          <wp:positionV relativeFrom="paragraph">
            <wp:posOffset>21590</wp:posOffset>
          </wp:positionV>
          <wp:extent cx="7556500" cy="2213610"/>
          <wp:effectExtent l="0" t="0" r="0" b="0"/>
          <wp:wrapNone/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5" t="-16" r="-5" b="-16"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2213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Normal"/>
      <w:spacing w:lineRule="auto" w:line="360"/>
      <w:jc w:val="center"/>
      <w:rPr>
        <w:rFonts w:ascii="Calibri" w:hAnsi="Calibri" w:cs="Calibri"/>
        <w:b/>
        <w:color w:val="002060"/>
        <w:sz w:val="32"/>
        <w:szCs w:val="32"/>
      </w:rPr>
    </w:pPr>
    <w:r>
      <w:rPr>
        <w:rFonts w:cs="Calibri" w:ascii="Calibri" w:hAnsi="Calibri"/>
        <w:b/>
        <w:color w:val="002060"/>
        <w:sz w:val="32"/>
        <w:szCs w:val="32"/>
      </w:rPr>
    </w:r>
  </w:p>
  <w:p>
    <w:pPr>
      <w:pStyle w:val="Normal"/>
      <w:spacing w:lineRule="auto" w:line="360"/>
      <w:jc w:val="center"/>
      <w:rPr>
        <w:rFonts w:ascii="Calibri" w:hAnsi="Calibri" w:cs="Calibri"/>
        <w:b/>
        <w:color w:val="002060"/>
        <w:sz w:val="32"/>
        <w:szCs w:val="32"/>
      </w:rPr>
    </w:pPr>
    <w:r>
      <w:rPr>
        <w:rFonts w:cs="Calibri" w:ascii="Calibri" w:hAnsi="Calibri"/>
        <w:b/>
        <w:color w:val="002060"/>
        <w:sz w:val="32"/>
        <w:szCs w:val="32"/>
      </w:rPr>
    </w:r>
  </w:p>
  <w:p>
    <w:pPr>
      <w:pStyle w:val="Normal"/>
      <w:spacing w:lineRule="auto" w:line="360"/>
      <w:jc w:val="center"/>
      <w:rPr>
        <w:rFonts w:ascii="Calibri" w:hAnsi="Calibri" w:cs="Calibri"/>
        <w:b/>
        <w:color w:val="002060"/>
        <w:sz w:val="32"/>
        <w:szCs w:val="32"/>
      </w:rPr>
    </w:pPr>
    <w:r>
      <w:rPr>
        <w:rFonts w:cs="Calibri" w:ascii="Calibri" w:hAnsi="Calibri"/>
        <w:b/>
        <w:color w:val="002060"/>
        <w:sz w:val="32"/>
        <w:szCs w:val="32"/>
      </w:rPr>
    </w:r>
  </w:p>
  <w:p>
    <w:pPr>
      <w:pStyle w:val="Normal"/>
      <w:spacing w:lineRule="auto" w:line="360"/>
      <w:jc w:val="center"/>
      <w:rPr>
        <w:rFonts w:ascii="Calibri" w:hAnsi="Calibri" w:cs="Calibri"/>
        <w:b/>
        <w:color w:val="002060"/>
        <w:sz w:val="32"/>
        <w:szCs w:val="32"/>
      </w:rPr>
    </w:pPr>
    <w:r>
      <w:rPr>
        <w:rFonts w:cs="Calibri" w:ascii="Calibri" w:hAnsi="Calibri"/>
        <w:b/>
        <w:color w:val="002060"/>
        <w:sz w:val="32"/>
        <w:szCs w:val="32"/>
      </w:rPr>
    </w:r>
  </w:p>
  <w:p>
    <w:pPr>
      <w:pStyle w:val="Normal"/>
      <w:spacing w:lineRule="auto" w:line="360"/>
      <w:jc w:val="center"/>
      <w:rPr>
        <w:rFonts w:ascii="Calibri" w:hAnsi="Calibri" w:cs="Calibri"/>
        <w:b/>
        <w:color w:val="002060"/>
        <w:sz w:val="32"/>
        <w:szCs w:val="32"/>
      </w:rPr>
    </w:pPr>
    <w:r>
      <w:rPr>
        <w:rFonts w:cs="Calibri" w:ascii="Calibri" w:hAnsi="Calibri"/>
        <w:b/>
        <w:color w:val="002060"/>
        <w:sz w:val="32"/>
        <w:szCs w:val="32"/>
      </w:rPr>
    </w:r>
  </w:p>
  <w:p>
    <w:pPr>
      <w:pStyle w:val="Normal"/>
      <w:jc w:val="center"/>
      <w:rPr>
        <w:b/>
        <w:color w:val="33167C"/>
      </w:rPr>
    </w:pPr>
    <w:r>
      <w:rPr>
        <w:b/>
        <w:color w:val="33167C"/>
      </w:rPr>
      <w:t>П Р О Т О К О Л</w:t>
    </w:r>
  </w:p>
  <w:p>
    <w:pPr>
      <w:pStyle w:val="Normal"/>
      <w:ind w:start="-142" w:end="-1"/>
      <w:jc w:val="center"/>
      <w:rPr>
        <w:b/>
        <w:color w:val="33167C"/>
        <w:sz w:val="22"/>
        <w:szCs w:val="22"/>
      </w:rPr>
    </w:pPr>
    <w:r>
      <w:rPr>
        <w:b/>
        <w:color w:val="33167C"/>
        <w:sz w:val="22"/>
        <w:szCs w:val="22"/>
      </w:rPr>
      <w:t xml:space="preserve">Признания запроса котировок в электронной форме </w:t>
    </w:r>
  </w:p>
  <w:p>
    <w:pPr>
      <w:pStyle w:val="Normal"/>
      <w:ind w:start="-142" w:end="-1"/>
      <w:jc w:val="center"/>
      <w:rPr>
        <w:b/>
        <w:color w:val="33167C"/>
        <w:sz w:val="22"/>
        <w:szCs w:val="22"/>
      </w:rPr>
    </w:pPr>
    <w:r>
      <w:rPr>
        <w:b/>
        <w:color w:val="33167C"/>
        <w:sz w:val="22"/>
        <w:szCs w:val="22"/>
      </w:rPr>
      <w:t>«Поставка трассопоискового комплекса» (Извещение № 32515427162) несостоявшимся</w:t>
    </w:r>
  </w:p>
  <w:p>
    <w:pPr>
      <w:pStyle w:val="Normal"/>
      <w:ind w:start="-142" w:end="-1"/>
      <w:jc w:val="center"/>
      <w:rPr>
        <w:b/>
        <w:color w:val="33167C"/>
        <w:sz w:val="22"/>
        <w:szCs w:val="22"/>
      </w:rPr>
    </w:pPr>
    <w:r>
      <w:rPr>
        <w:b/>
        <w:color w:val="33167C"/>
        <w:sz w:val="22"/>
        <w:szCs w:val="22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Style14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Style15">
    <w:name w:val="Верхний колонтитул Знак"/>
    <w:qFormat/>
    <w:rPr>
      <w:rFonts w:ascii="Times New Roman" w:hAnsi="Times New Roman" w:eastAsia="Times New Roman" w:cs="Times New Roman"/>
      <w:sz w:val="24"/>
      <w:szCs w:val="24"/>
      <w:lang w:val="en-US"/>
    </w:rPr>
  </w:style>
  <w:style w:type="character" w:styleId="Style16">
    <w:name w:val="Нижний колонтитул Знак"/>
    <w:qFormat/>
    <w:rPr>
      <w:rFonts w:ascii="Times New Roman" w:hAnsi="Times New Roman" w:eastAsia="Times New Roman" w:cs="Times New Roman"/>
      <w:sz w:val="24"/>
      <w:szCs w:val="24"/>
    </w:rPr>
  </w:style>
  <w:style w:type="character" w:styleId="Style17">
    <w:name w:val="Текст выноски Знак"/>
    <w:qFormat/>
    <w:rPr>
      <w:rFonts w:ascii="Segoe UI" w:hAnsi="Segoe UI" w:eastAsia="Times New Roman" w:cs="Segoe UI"/>
      <w:sz w:val="18"/>
      <w:szCs w:val="18"/>
    </w:rPr>
  </w:style>
  <w:style w:type="character" w:styleId="Style18">
    <w:name w:val="Основной текст Знак"/>
    <w:qFormat/>
    <w:rPr>
      <w:rFonts w:ascii="Arial" w:hAnsi="Arial" w:eastAsia="Times New Roman" w:cs="Arial"/>
      <w:sz w:val="24"/>
    </w:rPr>
  </w:style>
  <w:style w:type="character" w:styleId="Style19">
    <w:name w:val="Абзац списка Знак"/>
    <w:qFormat/>
    <w:rPr>
      <w:rFonts w:ascii="Times New Roman" w:hAnsi="Times New Roman" w:cs="Times New Roman"/>
      <w:sz w:val="26"/>
    </w:rPr>
  </w:style>
  <w:style w:type="character" w:styleId="fontstyle01">
    <w:name w:val="fontstyle01"/>
    <w:qFormat/>
    <w:rPr>
      <w:rFonts w:ascii="TimesNewRomanPSMT;Malgun Gothic Semilight" w:hAnsi="TimesNewRomanPSMT;Malgun Gothic Semilight" w:cs="TimesNewRomanPSMT;Malgun Gothic Semilight"/>
      <w:b w:val="false"/>
      <w:bCs w:val="false"/>
      <w:i w:val="false"/>
      <w:iCs w:val="false"/>
      <w:color w:val="00000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ascii="Arial" w:hAnsi="Arial" w:cs="Arial"/>
      <w:szCs w:val="20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>
      <w:lang w:val="en-US"/>
    </w:rPr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0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paragraph" w:styleId="Style21">
    <w:name w:val=" Знак"/>
    <w:basedOn w:val="Normal"/>
    <w:qFormat/>
    <w:pPr>
      <w:spacing w:lineRule="exact" w:line="240" w:before="0" w:after="160"/>
    </w:pPr>
    <w:rPr>
      <w:sz w:val="28"/>
      <w:szCs w:val="20"/>
      <w:lang w:val="en-US"/>
    </w:rPr>
  </w:style>
  <w:style w:type="paragraph" w:styleId="17">
    <w:name w:val="Знак Знак17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Calibri" w:cs="Times New Roman"/>
      <w:color w:val="000000"/>
      <w:sz w:val="24"/>
      <w:szCs w:val="24"/>
      <w:lang w:val="ru-RU" w:bidi="ar-SA" w:eastAsia="zh-CN"/>
    </w:rPr>
  </w:style>
  <w:style w:type="paragraph" w:styleId="Style22">
    <w:name w:val="Абзац списка"/>
    <w:basedOn w:val="Normal"/>
    <w:qFormat/>
    <w:pPr>
      <w:spacing w:before="60" w:after="60"/>
      <w:ind w:firstLine="709" w:start="0" w:end="0"/>
      <w:jc w:val="both"/>
    </w:pPr>
    <w:rPr>
      <w:rFonts w:eastAsia="Calibri"/>
      <w:sz w:val="26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zakupki.gov.ru/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2025-12-10T09:30:00Z</dcterms:created>
  <dc:creator>Арсланов Магомедсаид Арсланович</dc:creator>
  <dc:description/>
  <cp:keywords/>
  <dc:language>en-US</dc:language>
  <cp:lastModifiedBy>Ямщикова Татьяна Александровна</cp:lastModifiedBy>
  <cp:lastPrinted>2025-10-22T12:13:00Z</cp:lastPrinted>
  <dcterms:modified xsi:type="dcterms:W3CDTF">2025-12-11T08:26:00Z</dcterms:modified>
  <cp:revision>6</cp:revision>
  <dc:subject/>
  <dc:title/>
</cp:coreProperties>
</file>