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-567"/>
        <w:jc w:val="center"/>
        <w:rPr>
          <w:rFonts w:ascii="Times New Roman" w:hAnsi="Times New Roman" w:cs="Times New Roman"/>
          <w:b/>
          <w:bCs/>
          <w:sz w:val="24"/>
          <w:szCs w:val="24"/>
          <w14:ligatures w14:val="none"/>
        </w:rPr>
        <w:outlineLvl w:val="1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ротокол подведения итогов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в конкурсе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в электронной форме на право заключения договора на оказание услуг по выполнению аварийно спасательному формированию на всех объектах ОПО СК ПМЭС для нужд филиала ПАО «Россети»-Северо-Кавказское ПМЭС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№ </w:t>
      </w:r>
      <w:r>
        <w:rPr>
          <w:rFonts w:ascii="Times New Roman" w:hAnsi="Times New Roman" w:cs="Times New Roman"/>
          <w:b/>
          <w:bCs/>
          <w:sz w:val="24"/>
          <w:szCs w:val="24"/>
          <w:lang w:eastAsia="ru-RU" w:bidi="hi-IN"/>
        </w:rPr>
        <w:fldChar w:fldCharType="separate"/>
      </w:r>
      <w:r>
        <w:rPr>
          <w:rFonts w:ascii="Times New Roman" w:hAnsi="Times New Roman" w:cs="Times New Roman"/>
          <w:b/>
          <w:bCs/>
          <w:sz w:val="24"/>
          <w:szCs w:val="24"/>
          <w:lang w:eastAsia="ru-RU" w:bidi="hi-IN"/>
        </w:rPr>
        <w:t xml:space="preserve"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/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3677591</w:t>
      </w:r>
      <w:r>
        <w:rPr>
          <w:rFonts w:ascii="Times New Roman" w:hAnsi="Times New Roman" w:cs="Times New Roman"/>
          <w:b/>
          <w:bCs/>
          <w:sz w:val="24"/>
          <w:szCs w:val="24"/>
          <w:lang w:eastAsia="ru-RU" w:bidi="hi-IN"/>
        </w:rPr>
      </w:r>
      <w:r>
        <w:rPr>
          <w:rFonts w:ascii="Times New Roman" w:hAnsi="Times New Roman" w:cs="Times New Roman"/>
          <w:b/>
          <w:bCs/>
          <w:sz w:val="24"/>
          <w:szCs w:val="24"/>
          <w14:ligatures w14:val="none"/>
        </w:rPr>
      </w:r>
    </w:p>
    <w:p>
      <w:pPr>
        <w:ind w:left="-567"/>
        <w:jc w:val="center"/>
        <w:spacing w:after="0"/>
        <w:rPr>
          <w:rFonts w:ascii="Times New Roman" w:hAnsi="Times New Roman" w:cs="Times New Roman"/>
          <w:sz w:val="24"/>
          <w:szCs w:val="24"/>
          <w:highlight w:val="none"/>
          <w:lang w:eastAsia="ru-RU" w:bidi="hi-IN"/>
        </w:rPr>
        <w:outlineLvl w:val="1"/>
      </w:pPr>
      <w:r>
        <w:rPr>
          <w:rFonts w:ascii="Times New Roman" w:hAnsi="Times New Roman" w:cs="Times New Roman"/>
          <w:sz w:val="24"/>
          <w:szCs w:val="24"/>
          <w:lang w:eastAsia="ru-RU" w:bidi="hi-IN"/>
        </w:rPr>
        <w:t xml:space="preserve">г. Железноводск</w:t>
      </w:r>
      <w:r>
        <w:rPr>
          <w:rFonts w:ascii="Times New Roman" w:hAnsi="Times New Roman" w:cs="Times New Roman"/>
          <w:sz w:val="24"/>
          <w:szCs w:val="24"/>
          <w:lang w:eastAsia="ru-RU" w:bidi="hi-IN"/>
        </w:rPr>
        <w:tab/>
      </w:r>
      <w:r>
        <w:rPr>
          <w:rFonts w:ascii="Times New Roman" w:hAnsi="Times New Roman" w:cs="Times New Roman"/>
          <w:sz w:val="24"/>
          <w:szCs w:val="24"/>
          <w:lang w:eastAsia="ru-RU" w:bidi="hi-IN"/>
        </w:rPr>
        <w:tab/>
      </w:r>
      <w:r>
        <w:rPr>
          <w:rFonts w:ascii="Times New Roman" w:hAnsi="Times New Roman" w:cs="Times New Roman"/>
          <w:sz w:val="24"/>
          <w:szCs w:val="24"/>
          <w:lang w:eastAsia="ru-RU" w:bidi="hi-IN"/>
        </w:rPr>
        <w:tab/>
      </w:r>
      <w:r>
        <w:rPr>
          <w:rFonts w:ascii="Times New Roman" w:hAnsi="Times New Roman" w:cs="Times New Roman"/>
          <w:sz w:val="24"/>
          <w:szCs w:val="24"/>
          <w:lang w:eastAsia="ru-RU" w:bidi="hi-IN"/>
        </w:rPr>
        <w:tab/>
      </w:r>
      <w:r>
        <w:rPr>
          <w:rFonts w:ascii="Times New Roman" w:hAnsi="Times New Roman" w:cs="Times New Roman"/>
          <w:sz w:val="24"/>
          <w:szCs w:val="24"/>
          <w:lang w:eastAsia="ru-RU" w:bidi="hi-IN"/>
        </w:rPr>
        <w:tab/>
      </w:r>
      <w:r>
        <w:rPr>
          <w:rFonts w:ascii="Times New Roman" w:hAnsi="Times New Roman" w:cs="Times New Roman"/>
          <w:sz w:val="24"/>
          <w:szCs w:val="24"/>
          <w:lang w:eastAsia="ru-RU" w:bidi="hi-IN"/>
        </w:rPr>
        <w:tab/>
      </w:r>
      <w:r>
        <w:rPr>
          <w:rFonts w:ascii="Times New Roman" w:hAnsi="Times New Roman" w:cs="Times New Roman"/>
          <w:sz w:val="24"/>
          <w:szCs w:val="24"/>
          <w:lang w:eastAsia="ru-RU" w:bidi="hi-IN"/>
        </w:rPr>
        <w:tab/>
      </w:r>
      <w:r>
        <w:rPr>
          <w:rFonts w:ascii="Times New Roman" w:hAnsi="Times New Roman" w:cs="Times New Roman"/>
          <w:sz w:val="24"/>
          <w:szCs w:val="24"/>
          <w:lang w:eastAsia="ru-RU" w:bidi="hi-IN"/>
        </w:rPr>
        <w:tab/>
      </w:r>
      <w:r>
        <w:rPr>
          <w:rFonts w:ascii="Times New Roman" w:hAnsi="Times New Roman" w:cs="Times New Roman"/>
          <w:sz w:val="24"/>
          <w:szCs w:val="24"/>
          <w:lang w:eastAsia="ru-RU" w:bidi="hi-IN"/>
        </w:rPr>
        <w:tab/>
      </w:r>
      <w:r>
        <w:rPr>
          <w:rFonts w:ascii="Times New Roman" w:hAnsi="Times New Roman" w:cs="Times New Roman"/>
          <w:sz w:val="24"/>
          <w:szCs w:val="24"/>
          <w:lang w:eastAsia="ru-RU" w:bidi="hi-IN"/>
        </w:rPr>
        <w:tab/>
        <w:t xml:space="preserve">15</w:t>
      </w:r>
      <w:r>
        <w:rPr>
          <w:rFonts w:ascii="Times New Roman" w:hAnsi="Times New Roman" w:cs="Times New Roman"/>
          <w:sz w:val="24"/>
          <w:szCs w:val="24"/>
          <w:lang w:eastAsia="ru-RU" w:bidi="hi-IN"/>
        </w:rPr>
        <w:t xml:space="preserve">.</w:t>
      </w:r>
      <w:r>
        <w:rPr>
          <w:rFonts w:ascii="Times New Roman" w:hAnsi="Times New Roman" w:cs="Times New Roman"/>
          <w:sz w:val="24"/>
          <w:szCs w:val="24"/>
          <w:lang w:eastAsia="ru-RU" w:bidi="hi-IN"/>
        </w:rPr>
        <w:t xml:space="preserve">12</w:t>
      </w:r>
      <w:r>
        <w:rPr>
          <w:rFonts w:ascii="Times New Roman" w:hAnsi="Times New Roman" w:cs="Times New Roman"/>
          <w:sz w:val="24"/>
          <w:szCs w:val="24"/>
          <w:lang w:eastAsia="ru-RU" w:bidi="hi-IN"/>
        </w:rPr>
        <w:t xml:space="preserve">.202</w:t>
      </w:r>
      <w:r>
        <w:rPr>
          <w:rFonts w:ascii="Times New Roman" w:hAnsi="Times New Roman" w:cs="Times New Roman"/>
          <w:sz w:val="24"/>
          <w:szCs w:val="24"/>
          <w:lang w:eastAsia="ru-RU" w:bidi="hi-IN"/>
        </w:rPr>
        <w:t xml:space="preserve">5</w:t>
      </w:r>
      <w:r>
        <w:rPr>
          <w:rFonts w:ascii="Times New Roman" w:hAnsi="Times New Roman" w:cs="Times New Roman"/>
          <w:sz w:val="24"/>
          <w:szCs w:val="24"/>
          <w:highlight w:val="none"/>
          <w:lang w:eastAsia="ru-RU" w:bidi="hi-IN"/>
        </w:rPr>
      </w:r>
      <w:r>
        <w:rPr>
          <w:rFonts w:ascii="Times New Roman" w:hAnsi="Times New Roman" w:cs="Times New Roman"/>
          <w:sz w:val="24"/>
          <w:szCs w:val="24"/>
          <w:highlight w:val="none"/>
          <w:lang w:eastAsia="ru-RU" w:bidi="hi-IN"/>
        </w:rPr>
      </w:r>
    </w:p>
    <w:p>
      <w:pPr>
        <w:ind w:left="-567"/>
        <w:jc w:val="center"/>
        <w:spacing w:after="0"/>
        <w:rPr>
          <w:rFonts w:ascii="Times New Roman" w:hAnsi="Times New Roman" w:cs="Times New Roman"/>
          <w:sz w:val="24"/>
          <w:szCs w:val="24"/>
          <w:lang w:eastAsia="ru-RU" w:bidi="hi-IN"/>
        </w:rPr>
        <w:outlineLvl w:val="1"/>
      </w:pPr>
      <w:r>
        <w:rPr>
          <w:rFonts w:ascii="Times New Roman" w:hAnsi="Times New Roman" w:cs="Times New Roman"/>
          <w:sz w:val="24"/>
          <w:szCs w:val="24"/>
          <w:highlight w:val="none"/>
          <w:lang w:eastAsia="ru-RU" w:bidi="hi-IN"/>
        </w:rPr>
      </w:r>
      <w:r>
        <w:rPr>
          <w:rFonts w:ascii="Times New Roman" w:hAnsi="Times New Roman" w:cs="Times New Roman"/>
          <w:sz w:val="24"/>
          <w:szCs w:val="24"/>
          <w:lang w:eastAsia="ru-RU" w:bidi="hi-IN"/>
        </w:rPr>
      </w:r>
      <w:r>
        <w:rPr>
          <w:rFonts w:ascii="Times New Roman" w:hAnsi="Times New Roman" w:cs="Times New Roman"/>
          <w:sz w:val="24"/>
          <w:szCs w:val="24"/>
          <w:lang w:eastAsia="ru-RU" w:bidi="hi-IN"/>
        </w:rPr>
      </w:r>
    </w:p>
    <w:p>
      <w:pPr>
        <w:ind w:left="-851"/>
        <w:jc w:val="center"/>
        <w:spacing w:after="0"/>
        <w:rPr>
          <w:rFonts w:ascii="Times New Roman" w:hAnsi="Times New Roman" w:cs="Times New Roman"/>
          <w:sz w:val="24"/>
          <w:szCs w:val="24"/>
          <w:highlight w:val="none"/>
        </w:rPr>
        <w:outlineLvl w:val="1"/>
      </w:pPr>
      <w:r>
        <w:rPr>
          <w:rFonts w:ascii="Times New Roman" w:hAnsi="Times New Roman" w:cs="Times New Roman"/>
          <w:sz w:val="24"/>
          <w:szCs w:val="24"/>
        </w:rPr>
        <w:t xml:space="preserve">Настоящий </w:t>
      </w:r>
      <w:r>
        <w:rPr>
          <w:rFonts w:ascii="Times New Roman" w:hAnsi="Times New Roman" w:cs="Times New Roman"/>
          <w:sz w:val="24"/>
          <w:szCs w:val="24"/>
        </w:rPr>
        <w:t xml:space="preserve">конкурс</w:t>
      </w:r>
      <w:r>
        <w:rPr>
          <w:rFonts w:ascii="Times New Roman" w:hAnsi="Times New Roman" w:cs="Times New Roman"/>
          <w:sz w:val="24"/>
          <w:szCs w:val="24"/>
        </w:rPr>
        <w:t xml:space="preserve"> в электронной форме проводится с использованием функционала электронной площадки «РТС Тендер» согласно Правилам работы данной системы.</w:t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ind w:left="-851"/>
        <w:jc w:val="center"/>
        <w:spacing w:after="0"/>
        <w:rPr>
          <w:rFonts w:ascii="Times New Roman" w:hAnsi="Times New Roman" w:cs="Times New Roman"/>
          <w:sz w:val="24"/>
          <w:szCs w:val="24"/>
        </w:rPr>
        <w:outlineLvl w:val="1"/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6"/>
        </w:numPr>
        <w:contextualSpacing/>
        <w:ind w:left="-567"/>
        <w:spacing w:before="100" w:beforeAutospacing="1" w:after="120" w:line="240" w:lineRule="auto"/>
        <w:tabs>
          <w:tab w:val="left" w:pos="-562" w:leader="none"/>
        </w:tabs>
        <w:rPr>
          <w:rFonts w:ascii="Times New Roman" w:hAnsi="Times New Roman" w:cs="Times New Roman" w:eastAsiaTheme="minorEastAsia"/>
          <w:b/>
          <w:caps/>
          <w:sz w:val="24"/>
          <w:szCs w:val="24"/>
          <w:lang w:eastAsia="ru-RU"/>
        </w:rPr>
      </w:pPr>
      <w:r>
        <w:rPr>
          <w:rFonts w:ascii="Times New Roman" w:hAnsi="Times New Roman" w:cs="Times New Roman" w:eastAsiaTheme="minorEastAsia"/>
          <w:b/>
          <w:caps/>
          <w:sz w:val="24"/>
          <w:szCs w:val="24"/>
          <w:lang w:eastAsia="ru-RU"/>
        </w:rPr>
        <w:t xml:space="preserve">Повестка ДНЯ:</w:t>
      </w:r>
      <w:r>
        <w:rPr>
          <w:rFonts w:ascii="Times New Roman" w:hAnsi="Times New Roman" w:cs="Times New Roman" w:eastAsiaTheme="minorEastAsia"/>
          <w:b/>
          <w:caps/>
          <w:sz w:val="24"/>
          <w:szCs w:val="24"/>
          <w:lang w:eastAsia="ru-RU"/>
        </w:rPr>
      </w:r>
      <w:r>
        <w:rPr>
          <w:rFonts w:ascii="Times New Roman" w:hAnsi="Times New Roman" w:cs="Times New Roman" w:eastAsiaTheme="minorEastAsia"/>
          <w:b/>
          <w:caps/>
          <w:sz w:val="24"/>
          <w:szCs w:val="24"/>
          <w:lang w:eastAsia="ru-RU"/>
        </w:rPr>
      </w:r>
    </w:p>
    <w:p>
      <w:pPr>
        <w:numPr>
          <w:ilvl w:val="1"/>
          <w:numId w:val="5"/>
        </w:numPr>
        <w:ind w:left="-567" w:hanging="284"/>
        <w:jc w:val="both"/>
        <w:spacing w:after="0" w:line="240" w:lineRule="auto"/>
        <w:tabs>
          <w:tab w:val="left" w:pos="-567" w:leader="none"/>
          <w:tab w:val="num" w:pos="-426" w:leader="none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О заключении договора с единственным Участником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ООО "КУБАНЬЭКОНЕФТЬРЕСУРС"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.</w:t>
      </w:r>
      <w:r/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contextualSpacing/>
        <w:ind w:left="-567" w:firstLine="0"/>
        <w:spacing w:before="100" w:beforeAutospacing="1" w:after="120" w:line="240" w:lineRule="auto"/>
        <w:tabs>
          <w:tab w:val="left" w:pos="-562" w:leader="none"/>
        </w:tabs>
        <w:rPr>
          <w:rFonts w:ascii="Times New Roman" w:hAnsi="Times New Roman" w:cs="Times New Roman"/>
          <w:b/>
          <w:bCs/>
          <w:sz w:val="24"/>
          <w:szCs w:val="24"/>
          <w:lang w:eastAsia="ru-RU"/>
          <w14:ligatures w14:val="none"/>
        </w:rPr>
        <w:outlineLvl w:val="1"/>
      </w:pPr>
      <w:r>
        <w:rPr>
          <w:rFonts w:ascii="Times New Roman" w:hAnsi="Times New Roman" w:cs="Times New Roman" w:eastAsiaTheme="minorEastAsia"/>
          <w:b/>
          <w:bCs/>
          <w:caps/>
          <w:sz w:val="24"/>
          <w:szCs w:val="24"/>
          <w:lang w:eastAsia="ru-RU"/>
        </w:rPr>
      </w:r>
      <w:r>
        <w:rPr>
          <w:rFonts w:ascii="Times New Roman" w:hAnsi="Times New Roman" w:cs="Times New Roman" w:eastAsiaTheme="minorEastAsia"/>
          <w:b/>
          <w:bCs/>
          <w:caps/>
          <w:sz w:val="24"/>
          <w:szCs w:val="24"/>
          <w:lang w:eastAsia="ru-RU"/>
        </w:rPr>
      </w:r>
      <w:r>
        <w:rPr>
          <w:rFonts w:ascii="Times New Roman" w:hAnsi="Times New Roman" w:cs="Times New Roman"/>
          <w:b/>
          <w:bCs/>
          <w:sz w:val="24"/>
          <w:szCs w:val="24"/>
          <w:lang w:eastAsia="ru-RU"/>
          <w14:ligatures w14:val="none"/>
        </w:rPr>
      </w:r>
    </w:p>
    <w:p>
      <w:pPr>
        <w:numPr>
          <w:ilvl w:val="0"/>
          <w:numId w:val="6"/>
        </w:numPr>
        <w:contextualSpacing/>
        <w:ind w:left="-567"/>
        <w:spacing w:before="100" w:beforeAutospacing="1" w:after="120" w:line="240" w:lineRule="auto"/>
        <w:tabs>
          <w:tab w:val="left" w:pos="-562" w:leader="none"/>
        </w:tabs>
        <w:rPr>
          <w:rFonts w:ascii="Times New Roman" w:hAnsi="Times New Roman" w:cs="Times New Roman"/>
          <w:b/>
          <w:bCs/>
          <w:sz w:val="24"/>
          <w:szCs w:val="24"/>
        </w:rPr>
        <w:outlineLvl w:val="1"/>
      </w:pPr>
      <w:r>
        <w:rPr>
          <w:rFonts w:ascii="Times New Roman" w:hAnsi="Times New Roman" w:cs="Times New Roman" w:eastAsiaTheme="minorEastAsia"/>
          <w:b/>
          <w:bCs/>
          <w:caps/>
          <w:sz w:val="24"/>
          <w:szCs w:val="24"/>
          <w:lang w:eastAsia="ru-RU"/>
        </w:rPr>
        <w:t xml:space="preserve">ИНФОРМАЦИЯ О ЗАКУПКЕ: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>
      <w:pPr>
        <w:numPr>
          <w:ilvl w:val="0"/>
          <w:numId w:val="1"/>
        </w:numPr>
        <w:ind w:left="-562"/>
        <w:spacing w:before="0" w:beforeAutospacing="0" w:after="0" w:afterAutospacing="0" w:line="240" w:lineRule="auto"/>
        <w:tabs>
          <w:tab w:val="left" w:pos="-562" w:leader="none"/>
          <w:tab w:val="clear" w:pos="72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ФИЛИАЛ ПАО "РОССЕТИ" - МАГИСТРАЛЬНЫЕ ЭЛЕКТРИЧЕСКИЕ СЕТИ ЮГА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Style w:val="872"/>
        <w:tblW w:w="0" w:type="auto"/>
        <w:tblInd w:w="-56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571"/>
      </w:tblGrid>
      <w:tr>
        <w:tblPrEx/>
        <w:trPr/>
        <w:tc>
          <w:tcPr>
            <w:tcW w:w="9571" w:type="dxa"/>
            <w:textDirection w:val="lrTb"/>
            <w:noWrap w:val="false"/>
          </w:tcPr>
          <w:p>
            <w:pPr>
              <w:spacing w:before="0" w:beforeAutospacing="0" w:after="0" w:afterAutospac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аказчик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), заключающие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договор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Филиал ПАО "Россети"-Северо-Кавказское ПМЭС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>
      <w:pPr>
        <w:numPr>
          <w:ilvl w:val="0"/>
          <w:numId w:val="1"/>
        </w:numPr>
        <w:ind w:left="-567"/>
        <w:jc w:val="both"/>
        <w:spacing w:before="0" w:beforeAutospacing="0" w:after="0" w:afterAutospacing="0" w:line="240" w:lineRule="auto"/>
        <w:tabs>
          <w:tab w:val="num" w:pos="-567" w:leader="none"/>
          <w:tab w:val="clear" w:pos="72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</w:t>
      </w:r>
      <w:r>
        <w:rPr>
          <w:rFonts w:ascii="Times New Roman" w:hAnsi="Times New Roman" w:cs="Times New Roman"/>
          <w:sz w:val="24"/>
          <w:szCs w:val="24"/>
        </w:rPr>
        <w:t xml:space="preserve">е закупки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Право заключения договора на оказание услуг по выполнению аварийно спасательному формированию на всех объектах ОПО СК ПМЭС для нужд филиала ПАО «Россети»-Северо-Кавказское ПМЭС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1"/>
        </w:numPr>
        <w:ind w:left="-567"/>
        <w:jc w:val="both"/>
        <w:spacing w:before="0" w:beforeAutospacing="0" w:after="0" w:afterAutospacing="0" w:line="240" w:lineRule="auto"/>
        <w:tabs>
          <w:tab w:val="num" w:pos="-567" w:leader="none"/>
          <w:tab w:val="clear" w:pos="72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Номер лота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 xml:space="preserve"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/>
          <w:b/>
          <w:lang w:eastAsia="zh-CN" w:bidi="hi-IN"/>
        </w:rPr>
        <w:t xml:space="preserve">1</w:t>
      </w:r>
      <w:r>
        <w:rPr>
          <w:rFonts w:ascii="Times New Roman" w:hAnsi="Times New Roman"/>
          <w:b/>
          <w:lang w:eastAsia="zh-CN" w:bidi="hi-IN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1"/>
        </w:numPr>
        <w:ind w:left="-567"/>
        <w:jc w:val="both"/>
        <w:spacing w:before="0" w:beforeAutospacing="0" w:after="0" w:afterAutospacing="0" w:line="240" w:lineRule="auto"/>
        <w:tabs>
          <w:tab w:val="num" w:pos="-567" w:leader="none"/>
          <w:tab w:val="clear" w:pos="72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Наименование предмета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договор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 xml:space="preserve"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/>
          <w:b/>
          <w:lang w:eastAsia="zh-CN" w:bidi="hi-IN"/>
        </w:rPr>
        <w:t xml:space="preserve">Право заключения договора на оказание услуг по выполнению аварийно спасательному формированию на всех объектах ОПО СК ПМЭС для нужд филиала ПАО «Россети»-Северо-Кавказское ПМЭС</w:t>
      </w:r>
      <w:r>
        <w:rPr>
          <w:rFonts w:ascii="Times New Roman" w:hAnsi="Times New Roman"/>
          <w:b/>
          <w:lang w:eastAsia="zh-CN" w:bidi="hi-IN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1"/>
        </w:numPr>
        <w:ind w:left="-567"/>
        <w:jc w:val="both"/>
        <w:spacing w:before="0" w:beforeAutospacing="0" w:after="0" w:afterAutospacing="0" w:line="240" w:lineRule="auto"/>
        <w:tabs>
          <w:tab w:val="num" w:pos="-567" w:leader="none"/>
          <w:tab w:val="clear" w:pos="72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" w:hAnsi="Times New Roman" w:cs="Times New Roman"/>
          <w:sz w:val="24"/>
          <w:szCs w:val="24"/>
        </w:rPr>
        <w:t xml:space="preserve">В соответствии с документацией о закупке</w:t>
      </w:r>
      <w:r>
        <w:rPr>
          <w:rFonts w:ascii="Times New Roman CYR" w:hAnsi="Times New Roman CYR" w:cs="Times New Roman CYR"/>
          <w:sz w:val="24"/>
          <w:szCs w:val="24"/>
        </w:rPr>
        <w:t xml:space="preserve">.</w:t>
      </w:r>
      <w:bookmarkStart w:id="0" w:name="_GoBack"/>
      <w:r/>
      <w:bookmarkEnd w:id="0"/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1"/>
        </w:numPr>
        <w:ind w:left="-567"/>
        <w:jc w:val="both"/>
        <w:spacing w:before="0" w:beforeAutospacing="0" w:after="0" w:afterAutospacing="0" w:line="240" w:lineRule="auto"/>
        <w:tabs>
          <w:tab w:val="num" w:pos="-567" w:leader="none"/>
          <w:tab w:val="clear" w:pos="72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highlight w:val="none"/>
        </w:rPr>
      </w:r>
      <w:r>
        <w:rPr>
          <w:rFonts w:ascii="Times New Roman CYR" w:hAnsi="Times New Roman CYR" w:cs="Times New Roman CYR"/>
          <w:sz w:val="24"/>
          <w:szCs w:val="24"/>
        </w:rPr>
        <w:t xml:space="preserve">Сведения об объемах закупаемых товаров, работ, услуг: </w:t>
      </w:r>
      <w:r>
        <w:rPr>
          <w:rFonts w:ascii="Times New Roman CYR" w:hAnsi="Times New Roman CYR" w:cs="Times New Roman CYR"/>
          <w:sz w:val="24"/>
          <w:szCs w:val="24"/>
        </w:rPr>
        <w:t xml:space="preserve">В соответствии с документацией о закупке.</w:t>
      </w:r>
      <w:r>
        <w:rPr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1"/>
        </w:numPr>
        <w:ind w:left="-567"/>
        <w:jc w:val="both"/>
        <w:spacing w:before="0" w:beforeAutospacing="0" w:after="0" w:afterAutospacing="0" w:line="240" w:lineRule="auto"/>
        <w:tabs>
          <w:tab w:val="num" w:pos="-567" w:leader="none"/>
          <w:tab w:val="clear" w:pos="720" w:leader="none"/>
        </w:tabs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 с НДС составляет 691 200,00 руб., в том числе НДС в размере 20 % - 115 200,00 руб. </w:t>
      </w: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 без НДС составляет – 576 000,00 руб.</w:t>
      </w:r>
      <w:r>
        <w:rPr>
          <w:rFonts w:ascii="Times New Roman" w:hAnsi="Times New Roman" w:cs="Times New Roman"/>
          <w:sz w:val="24"/>
          <w:szCs w:val="24"/>
        </w:rPr>
      </w:r>
      <w:r/>
    </w:p>
    <w:p>
      <w:pPr>
        <w:numPr>
          <w:ilvl w:val="0"/>
          <w:numId w:val="1"/>
        </w:numPr>
        <w:ind w:left="-567"/>
        <w:jc w:val="both"/>
        <w:spacing w:before="0" w:beforeAutospacing="0" w:after="0" w:afterAutospacing="0" w:line="240" w:lineRule="auto"/>
        <w:tabs>
          <w:tab w:val="num" w:pos="-567" w:leader="none"/>
          <w:tab w:val="clear" w:pos="720" w:leader="none"/>
        </w:tabs>
        <w:rPr>
          <w:rFonts w:ascii="Times New Roman" w:hAnsi="Times New Roman" w:cs="Times New Roman"/>
          <w:sz w:val="24"/>
          <w:szCs w:val="24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 xml:space="preserve">Распоряжение филиала ПАО «Россети» - Магистральные электрические сети Юга от </w:t>
      </w:r>
      <w:r>
        <w:rPr>
          <w:rFonts w:ascii="Times New Roman" w:hAnsi="Times New Roman" w:cs="Times New Roman"/>
          <w:sz w:val="24"/>
          <w:szCs w:val="24"/>
        </w:rPr>
        <w:t xml:space="preserve">01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  <w:t xml:space="preserve">10</w:t>
      </w:r>
      <w:r>
        <w:rPr>
          <w:rFonts w:ascii="Times New Roman" w:hAnsi="Times New Roman" w:cs="Times New Roman"/>
          <w:sz w:val="24"/>
          <w:szCs w:val="24"/>
        </w:rPr>
        <w:t xml:space="preserve">.2025</w:t>
      </w:r>
      <w:r>
        <w:rPr>
          <w:rFonts w:ascii="Times New Roman" w:hAnsi="Times New Roman" w:cs="Times New Roman"/>
          <w:sz w:val="24"/>
          <w:szCs w:val="24"/>
        </w:rPr>
        <w:t xml:space="preserve"> № </w:t>
      </w:r>
      <w:r>
        <w:rPr>
          <w:rFonts w:ascii="Times New Roman" w:hAnsi="Times New Roman" w:cs="Times New Roman"/>
          <w:sz w:val="24"/>
          <w:szCs w:val="24"/>
        </w:rPr>
        <w:t xml:space="preserve">532</w:t>
      </w:r>
      <w:r>
        <w:rPr>
          <w:rFonts w:ascii="Times New Roman" w:hAnsi="Times New Roman" w:cs="Times New Roman"/>
          <w:sz w:val="24"/>
          <w:szCs w:val="24"/>
        </w:rPr>
        <w:t xml:space="preserve">р.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  <w14:ligatures w14:val="none"/>
        </w:rPr>
      </w:r>
    </w:p>
    <w:p>
      <w:pPr>
        <w:pStyle w:val="874"/>
        <w:numPr>
          <w:ilvl w:val="0"/>
          <w:numId w:val="1"/>
        </w:numPr>
        <w:ind w:left="-567"/>
        <w:spacing w:before="0" w:beforeAutospacing="0" w:after="0" w:afterAutospacing="0" w:line="240" w:lineRule="auto"/>
        <w:tabs>
          <w:tab w:val="left" w:pos="-540" w:leader="none"/>
          <w:tab w:val="clear" w:pos="720" w:leader="none"/>
        </w:tabs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Д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окументация о закупке и Извещение о проведении запроса предложений в электронной форме №3677591 официально опубликованы 14 ноября 2025г. на официальном сайте Единой информационной системы в сфере закупок (www.zakupki.gov.ru) за номером извещения №325515406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394 на электронной торговой площадке системы РТС-тендер (www.rts-tender.ru) закупка №3677591</w:t>
      </w:r>
      <w:r>
        <w:rPr>
          <w:rFonts w:ascii="Times New Roman" w:hAnsi="Times New Roman" w:cs="Times New Roman"/>
          <w:sz w:val="24"/>
          <w:szCs w:val="24"/>
        </w:rPr>
        <w:t xml:space="preserve">.</w:t>
      </w:r>
      <w:r>
        <w:rPr>
          <w:rFonts w:ascii="Times New Roman" w:hAnsi="Times New Roman" w:cs="Times New Roman"/>
          <w:sz w:val="24"/>
          <w:szCs w:val="24"/>
          <w:lang w:val="en-US" w:eastAsia="ru-RU" w:bidi="hi-IN"/>
        </w:rPr>
      </w:r>
      <w:r>
        <w:rPr>
          <w:rFonts w:ascii="Times New Roman" w:hAnsi="Times New Roman" w:cs="Times New Roman"/>
          <w:sz w:val="24"/>
          <w:szCs w:val="24"/>
          <w:lang w:val="en-US" w:eastAsia="ru-RU" w:bidi="hi-IN"/>
        </w:rPr>
      </w:r>
    </w:p>
    <w:p>
      <w:pPr>
        <w:numPr>
          <w:ilvl w:val="0"/>
          <w:numId w:val="1"/>
        </w:numPr>
        <w:ind w:left="-567"/>
        <w:spacing w:before="0" w:beforeAutospacing="0" w:after="0" w:afterAutospacing="0" w:line="240" w:lineRule="auto"/>
        <w:tabs>
          <w:tab w:val="num" w:pos="-567" w:leader="none"/>
          <w:tab w:val="clear" w:pos="72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момент окончания срока подачи за</w:t>
      </w:r>
      <w:r>
        <w:rPr>
          <w:rFonts w:ascii="Times New Roman" w:hAnsi="Times New Roman" w:cs="Times New Roman"/>
          <w:sz w:val="24"/>
          <w:szCs w:val="24"/>
        </w:rPr>
        <w:t xml:space="preserve">явок на участие в конкурсе</w:t>
      </w:r>
      <w:r>
        <w:rPr>
          <w:rFonts w:ascii="Times New Roman" w:hAnsi="Times New Roman" w:cs="Times New Roman"/>
          <w:sz w:val="24"/>
          <w:szCs w:val="24"/>
        </w:rPr>
        <w:t xml:space="preserve"> был</w:t>
      </w:r>
      <w:r>
        <w:rPr>
          <w:rFonts w:ascii="Times New Roman" w:hAnsi="Times New Roman" w:cs="Times New Roman"/>
          <w:sz w:val="24"/>
          <w:szCs w:val="24"/>
        </w:rPr>
        <w:t xml:space="preserve">а подана одна заявка</w:t>
      </w:r>
      <w:r>
        <w:rPr>
          <w:rFonts w:ascii="Times New Roman" w:hAnsi="Times New Roman" w:cs="Times New Roman"/>
          <w:sz w:val="24"/>
          <w:szCs w:val="24"/>
        </w:rPr>
        <w:t xml:space="preserve">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W w:w="5439" w:type="pct"/>
        <w:tblInd w:w="-68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28" w:type="dxa"/>
          <w:top w:w="28" w:type="dxa"/>
          <w:right w:w="28" w:type="dxa"/>
          <w:bottom w:w="28" w:type="dxa"/>
        </w:tblCellMar>
        <w:tblLook w:val="04A0" w:firstRow="1" w:lastRow="0" w:firstColumn="1" w:lastColumn="0" w:noHBand="0" w:noVBand="1"/>
      </w:tblPr>
      <w:tblGrid>
        <w:gridCol w:w="1532"/>
        <w:gridCol w:w="2409"/>
        <w:gridCol w:w="1701"/>
        <w:gridCol w:w="1830"/>
        <w:gridCol w:w="12"/>
        <w:gridCol w:w="2693"/>
      </w:tblGrid>
      <w:tr>
        <w:tblPrEx/>
        <w:trPr>
          <w:trHeight w:val="484"/>
          <w:tblHeader/>
        </w:trPr>
        <w:tc>
          <w:tcPr>
            <w:shd w:val="clear" w:color="ffffff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2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</w:rPr>
              <w:t xml:space="preserve">Дата и время подачи заявки</w:t>
            </w:r>
            <w:r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</w:rPr>
            </w:r>
          </w:p>
        </w:tc>
        <w:tc>
          <w:tcPr>
            <w:shd w:val="clear" w:color="ffffff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</w:rPr>
              <w:t xml:space="preserve">Наименование участника закупки</w:t>
            </w:r>
            <w:r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</w:rPr>
            </w:r>
          </w:p>
        </w:tc>
        <w:tc>
          <w:tcPr>
            <w:gridSpan w:val="2"/>
            <w:shd w:val="clear" w:color="ffffff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53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</w:rPr>
              <w:t xml:space="preserve">Цена заявки участника, </w:t>
            </w:r>
            <w:r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</w:rPr>
              <w:t xml:space="preserve">рублей </w:t>
            </w:r>
            <w:r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</w:rPr>
            </w:r>
          </w:p>
        </w:tc>
        <w:tc>
          <w:tcPr>
            <w:gridSpan w:val="2"/>
            <w:shd w:val="clear" w:color="ffffff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0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</w:rPr>
              <w:t xml:space="preserve">Описание предложенных в заявке работ (услуг), согласно техническому предложению, на ЭП «РТС Тендер»</w:t>
            </w:r>
            <w:r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</w:rPr>
            </w:r>
          </w:p>
        </w:tc>
      </w:tr>
      <w:tr>
        <w:tblPrEx/>
        <w:trPr>
          <w:trHeight w:val="170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2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</w:rPr>
            </w:r>
          </w:p>
        </w:tc>
        <w:tc>
          <w:tcPr>
            <w:shd w:val="clear" w:color="ffffff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</w:rPr>
              <w:t xml:space="preserve">без НДС</w:t>
            </w:r>
            <w:r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</w:rPr>
            </w:r>
          </w:p>
        </w:tc>
        <w:tc>
          <w:tcPr>
            <w:shd w:val="clear" w:color="ffffff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3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</w:rPr>
              <w:t xml:space="preserve">с НДС</w:t>
            </w:r>
            <w:r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705" w:type="dxa"/>
            <w:vAlign w:val="center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</w:rPr>
            </w:r>
            <w:r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</w:rPr>
            </w:r>
          </w:p>
        </w:tc>
      </w:tr>
      <w:tr>
        <w:tblPrEx/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3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Calibri" w:cs="Calibri"/>
                <w:color w:val="000000"/>
                <w:sz w:val="20"/>
                <w:szCs w:val="20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Calibri" w:cs="Calibri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Calibri" w:cs="Calibri"/>
                <w:color w:val="000000"/>
                <w:sz w:val="20"/>
                <w:szCs w:val="20"/>
                <w:lang w:val="en-US"/>
              </w:rPr>
              <w:t xml:space="preserve">05.12.2025 12:52 (МСК)</w:t>
            </w:r>
            <w:r>
              <w:rPr>
                <w:rFonts w:ascii="Times New Roman" w:hAnsi="Times New Roman" w:eastAsia="Calibri" w:cs="Calibri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Calibri" w:cs="Calibri"/>
                <w:color w:val="000000"/>
                <w:sz w:val="20"/>
                <w:szCs w:val="2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0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Calibri" w:cs="Calibri"/>
                <w:color w:val="000000"/>
                <w:sz w:val="20"/>
                <w:szCs w:val="20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Calibri" w:cs="Calibri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Calibri" w:cs="Calibri"/>
                <w:color w:val="000000"/>
                <w:sz w:val="20"/>
                <w:szCs w:val="20"/>
                <w:lang w:val="en-US"/>
              </w:rPr>
              <w:t xml:space="preserve">ООО "КУБАНЬЭКОНЕФТЬРЕСУРС"</w:t>
            </w:r>
            <w:r>
              <w:rPr>
                <w:rFonts w:ascii="Times New Roman" w:hAnsi="Times New Roman" w:eastAsia="Calibri" w:cs="Calibri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Calibri" w:cs="Calibri"/>
                <w:color w:val="000000"/>
                <w:sz w:val="20"/>
                <w:szCs w:val="20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Calibri" w:cs="Calibri"/>
                <w:color w:val="000000"/>
                <w:sz w:val="20"/>
                <w:szCs w:val="20"/>
                <w:lang w:val="en-US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Calibri" w:cs="Calibri"/>
                <w:color w:val="000000"/>
                <w:sz w:val="20"/>
                <w:szCs w:val="20"/>
                <w:lang w:val="en-US"/>
              </w:rPr>
              <w:t xml:space="preserve">576 000,00</w:t>
            </w:r>
            <w:r>
              <w:rPr>
                <w:rFonts w:ascii="Times New Roman" w:hAnsi="Times New Roman" w:eastAsia="Calibri" w:cs="Calibri"/>
                <w:color w:val="000000"/>
                <w:sz w:val="20"/>
                <w:szCs w:val="20"/>
                <w:lang w:val="en-US"/>
                <w14:ligatures w14:val="none"/>
              </w:rPr>
            </w:r>
            <w:r>
              <w:rPr>
                <w:rFonts w:ascii="Times New Roman" w:hAnsi="Times New Roman" w:eastAsia="Calibri" w:cs="Calibri"/>
                <w:color w:val="000000"/>
                <w:sz w:val="20"/>
                <w:szCs w:val="20"/>
                <w:lang w:val="en-US"/>
                <w14:ligatures w14:val="none"/>
              </w:rPr>
            </w:r>
          </w:p>
        </w:tc>
        <w:tc>
          <w:tcPr>
            <w:gridSpan w:val="2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Calibri" w:cs="Calibri"/>
                <w:color w:val="000000"/>
                <w:sz w:val="21"/>
                <w:lang w:val="en-US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Calibri" w:cs="Calibri"/>
                <w:color w:val="000000"/>
                <w:sz w:val="20"/>
                <w:szCs w:val="20"/>
                <w:lang w:val="en-US"/>
              </w:rPr>
              <w:t xml:space="preserve">*</w:t>
            </w:r>
            <w:r>
              <w:rPr>
                <w:rFonts w:ascii="Times New Roman" w:hAnsi="Times New Roman" w:eastAsia="Calibri" w:cs="Calibri"/>
                <w:color w:val="000000"/>
                <w:sz w:val="20"/>
                <w:szCs w:val="20"/>
                <w:lang w:val="en-US"/>
              </w:rPr>
              <w:t xml:space="preserve">576 000,00</w:t>
            </w:r>
            <w:r>
              <w:rPr>
                <w:rFonts w:ascii="Times New Roman" w:hAnsi="Times New Roman" w:eastAsia="Calibri" w:cs="Calibri"/>
                <w:color w:val="000000"/>
                <w:sz w:val="20"/>
                <w:szCs w:val="20"/>
                <w:lang w:val="en-US"/>
              </w:rPr>
            </w:r>
            <w:r>
              <w:rPr>
                <w:rFonts w:ascii="Times New Roman" w:hAnsi="Times New Roman" w:eastAsia="Calibri" w:cs="Calibri"/>
                <w:color w:val="000000"/>
                <w:sz w:val="21"/>
                <w:lang w:val="en-US"/>
                <w14:ligatures w14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W w:w="269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Calibri" w:cs="Calibri"/>
                <w:bCs/>
                <w:color w:val="000000"/>
                <w:sz w:val="20"/>
                <w:szCs w:val="20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Calibri" w:cs="Calibri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Calibri" w:cs="Calibri"/>
                <w:color w:val="000000"/>
                <w:sz w:val="20"/>
                <w:szCs w:val="20"/>
                <w:lang w:eastAsia="zh-CN" w:bidi="hi-IN"/>
              </w:rPr>
              <w:t xml:space="preserve">Право заключения договора на оказание услуг по выполнению аварийно спасательному формированию на всех объектах ОПО СК ПМЭС для нужд филиала ПАО «Россети»-Северо-Кавказское ПМЭС</w:t>
            </w:r>
            <w:r>
              <w:rPr>
                <w:rFonts w:ascii="Times New Roman" w:hAnsi="Times New Roman" w:eastAsia="Calibri" w:cs="Calibri"/>
                <w:color w:val="000000"/>
                <w:sz w:val="20"/>
                <w:szCs w:val="20"/>
              </w:rPr>
            </w:r>
            <w:r>
              <w:rPr>
                <w:rFonts w:ascii="Times New Roman" w:hAnsi="Times New Roman" w:eastAsia="Calibri" w:cs="Calibri"/>
                <w:bCs/>
                <w:color w:val="000000"/>
                <w:sz w:val="20"/>
                <w:szCs w:val="20"/>
                <w14:ligatures w14:val="none"/>
              </w:rPr>
            </w:r>
          </w:p>
        </w:tc>
      </w:tr>
    </w:tbl>
    <w:p>
      <w:pPr>
        <w:ind w:left="0" w:right="0" w:hanging="709"/>
        <w:spacing w:before="0" w:beforeAutospacing="0" w:after="0" w:afterAutospacing="0" w:line="240" w:lineRule="auto"/>
        <w:tabs>
          <w:tab w:val="num" w:pos="-567" w:leader="none"/>
          <w:tab w:val="clear" w:pos="720" w:leader="none"/>
        </w:tabs>
        <w:rPr>
          <w:rFonts w:ascii="Times New Roman" w:hAnsi="Times New Roman" w:cs="Times New Roman"/>
          <w:b/>
          <w:bCs/>
          <w:sz w:val="16"/>
          <w:szCs w:val="16"/>
        </w:rPr>
      </w:pPr>
      <w:r>
        <w:rPr>
          <w:rFonts w:ascii="Times New Roman" w:hAnsi="Times New Roman" w:cs="Times New Roman"/>
          <w:b/>
          <w:bCs/>
          <w:sz w:val="16"/>
          <w:szCs w:val="16"/>
        </w:rPr>
        <w:t xml:space="preserve">*-применяется УСН</w:t>
      </w:r>
      <w:r>
        <w:rPr>
          <w:rFonts w:ascii="Times New Roman" w:hAnsi="Times New Roman" w:cs="Times New Roman"/>
          <w:b/>
          <w:bCs/>
          <w:sz w:val="16"/>
          <w:szCs w:val="16"/>
        </w:rPr>
      </w:r>
      <w:r>
        <w:rPr>
          <w:rFonts w:ascii="Times New Roman" w:hAnsi="Times New Roman" w:cs="Times New Roman"/>
          <w:b/>
          <w:bCs/>
          <w:sz w:val="16"/>
          <w:szCs w:val="16"/>
        </w:rPr>
      </w:r>
    </w:p>
    <w:p>
      <w:pPr>
        <w:ind w:left="-567" w:right="0" w:firstLine="0"/>
        <w:jc w:val="both"/>
        <w:spacing w:before="0" w:beforeAutospacing="0" w:after="0" w:afterAutospacing="0" w:line="240" w:lineRule="auto"/>
        <w:tabs>
          <w:tab w:val="num" w:pos="-567" w:leader="none"/>
          <w:tab w:val="clear" w:pos="720" w:leader="none"/>
        </w:tabs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  <w:t xml:space="preserve">В связи с тем, что по окончании срока подачи заявок подана только одна заявка, на основании п.7.5.1. а) Единого стандарта закупок Публичного акционерного общества «Федеральная сетевая компания - Россети», конкурс</w:t>
      </w:r>
      <w:r>
        <w:rPr>
          <w:rFonts w:ascii="Times New Roman" w:hAnsi="Times New Roman" w:cs="Times New Roman"/>
          <w:sz w:val="24"/>
          <w:szCs w:val="24"/>
        </w:rPr>
        <w:t xml:space="preserve"> в электронной форме признается несостоявшимся.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>
      <w:pPr>
        <w:spacing w:before="0" w:beforeAutospacing="0" w:after="0" w:afterAutospacing="0" w:line="240" w:lineRule="auto"/>
        <w:tabs>
          <w:tab w:val="num" w:pos="-567" w:leader="none"/>
          <w:tab w:val="clear" w:pos="72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6"/>
        </w:numPr>
        <w:contextualSpacing/>
        <w:ind w:left="-567"/>
        <w:spacing w:before="100" w:beforeAutospacing="1" w:after="120" w:line="240" w:lineRule="auto"/>
        <w:tabs>
          <w:tab w:val="left" w:pos="-562" w:leader="none"/>
        </w:tabs>
        <w:rPr>
          <w:rFonts w:ascii="Times New Roman" w:hAnsi="Times New Roman" w:cs="Times New Roman"/>
          <w:b/>
          <w:caps/>
          <w:sz w:val="24"/>
          <w:szCs w:val="24"/>
          <w:lang w:eastAsia="ru-RU"/>
          <w14:ligatures w14:val="none"/>
        </w:rPr>
      </w:pPr>
      <w:r>
        <w:rPr>
          <w:rFonts w:ascii="Times New Roman" w:hAnsi="Times New Roman" w:cs="Times New Roman" w:eastAsiaTheme="minorEastAsia"/>
          <w:b/>
          <w:bCs/>
          <w:caps/>
          <w:sz w:val="24"/>
          <w:szCs w:val="24"/>
          <w:lang w:eastAsia="ru-RU"/>
        </w:rPr>
        <w:t xml:space="preserve">Результаты рассмотрения заявок:</w:t>
      </w:r>
      <w:r>
        <w:rPr>
          <w:rFonts w:ascii="Times New Roman" w:hAnsi="Times New Roman" w:cs="Times New Roman" w:eastAsiaTheme="minorEastAsia"/>
          <w:b/>
          <w:bCs/>
          <w:caps/>
          <w:sz w:val="24"/>
          <w:szCs w:val="24"/>
          <w:lang w:eastAsia="ru-RU"/>
        </w:rPr>
      </w:r>
      <w:r>
        <w:rPr>
          <w:rFonts w:ascii="Times New Roman" w:hAnsi="Times New Roman" w:cs="Times New Roman"/>
          <w:b/>
          <w:caps/>
          <w:sz w:val="24"/>
          <w:szCs w:val="24"/>
          <w:lang w:eastAsia="ru-RU"/>
          <w14:ligatures w14:val="none"/>
        </w:rPr>
      </w:r>
    </w:p>
    <w:p>
      <w:pPr>
        <w:pStyle w:val="874"/>
        <w:numPr>
          <w:ilvl w:val="1"/>
          <w:numId w:val="13"/>
        </w:numPr>
        <w:ind w:left="-567" w:firstLine="0"/>
        <w:jc w:val="both"/>
        <w:spacing w:before="120" w:after="0"/>
        <w:tabs>
          <w:tab w:val="num" w:pos="-567" w:leader="none"/>
          <w:tab w:val="num" w:pos="66" w:leader="none"/>
          <w:tab w:val="clear" w:pos="1440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Комиссия рассмотрела заявку</w:t>
      </w:r>
      <w:r>
        <w:rPr>
          <w:rFonts w:ascii="Times New Roman" w:hAnsi="Times New Roman" w:cs="Times New Roman"/>
          <w:sz w:val="24"/>
          <w:szCs w:val="24"/>
        </w:rPr>
        <w:t xml:space="preserve"> единственного Участника</w:t>
      </w:r>
      <w:r>
        <w:rPr>
          <w:rFonts w:ascii="Times New Roman" w:hAnsi="Times New Roman" w:cs="Times New Roman"/>
          <w:sz w:val="24"/>
          <w:szCs w:val="24"/>
        </w:rPr>
        <w:t xml:space="preserve">, поданную на участие в закупке, и приняла решение: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W w:w="5422" w:type="pct"/>
        <w:tblInd w:w="-68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left w:w="28" w:type="dxa"/>
          <w:top w:w="28" w:type="dxa"/>
          <w:right w:w="28" w:type="dxa"/>
          <w:bottom w:w="28" w:type="dxa"/>
        </w:tblCellMar>
        <w:tblLook w:val="0000" w:firstRow="0" w:lastRow="0" w:firstColumn="0" w:lastColumn="0" w:noHBand="0" w:noVBand="0"/>
      </w:tblPr>
      <w:tblGrid>
        <w:gridCol w:w="3660"/>
        <w:gridCol w:w="6474"/>
      </w:tblGrid>
      <w:tr>
        <w:tblPrEx/>
        <w:trPr>
          <w:trHeight w:val="664"/>
          <w:tblHeader/>
        </w:trPr>
        <w:tc>
          <w:tcPr>
            <w:shd w:val="clear" w:color="ffffff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06" w:type="pct"/>
            <w:vAlign w:val="center"/>
            <w:textDirection w:val="lrTb"/>
            <w:noWrap w:val="false"/>
          </w:tcPr>
          <w:p>
            <w:pPr>
              <w:ind w:left="113" w:right="104"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  <w:t xml:space="preserve">Наименование участника закупки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lang w:eastAsia="ru-RU"/>
              </w:rPr>
            </w:r>
          </w:p>
        </w:tc>
        <w:tc>
          <w:tcPr>
            <w:shd w:val="clear" w:color="ffffff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94" w:type="pct"/>
            <w:vAlign w:val="center"/>
            <w:textDirection w:val="lrTb"/>
            <w:noWrap w:val="false"/>
          </w:tcPr>
          <w:p>
            <w:pPr>
              <w:ind w:left="124" w:right="113"/>
              <w:jc w:val="center"/>
              <w:spacing w:after="0" w:line="240" w:lineRule="auto"/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  <w:t xml:space="preserve">Решение о соответствии или несоответствии заявки на участие требованиям Документации о закупке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eastAsia="ru-RU"/>
              </w:rPr>
            </w:r>
          </w:p>
        </w:tc>
      </w:tr>
      <w:tr>
        <w:tblPrEx/>
        <w:trPr>
          <w:trHeight w:val="61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06" w:type="pct"/>
            <w:vAlign w:val="center"/>
            <w:textDirection w:val="lrTb"/>
            <w:noWrap w:val="false"/>
          </w:tcPr>
          <w:p>
            <w:pPr>
              <w:ind w:left="113" w:right="104"/>
              <w:jc w:val="center"/>
              <w:spacing w:after="0" w:line="240" w:lineRule="auto"/>
              <w:widowControl w:val="off"/>
              <w:rPr>
                <w:rFonts w:ascii="Times New Roman" w:hAnsi="Times New Roman"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Calibri" w:cs="Calibri"/>
                <w:color w:val="000000"/>
                <w:sz w:val="20"/>
                <w:szCs w:val="20"/>
                <w:lang w:val="en-US"/>
              </w:rPr>
              <w:t xml:space="preserve">ООО "КУБАНЬЭКОНЕФТЬРЕСУРС"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194" w:type="pct"/>
            <w:vAlign w:val="center"/>
            <w:textDirection w:val="lrTb"/>
            <w:noWrap w:val="false"/>
          </w:tcPr>
          <w:p>
            <w:pPr>
              <w:ind w:left="113" w:right="104"/>
              <w:jc w:val="center"/>
              <w:spacing w:after="0" w:line="240" w:lineRule="auto"/>
              <w:widowControl w:val="off"/>
              <w:rPr>
                <w:rFonts w:ascii="Times New Roman" w:hAnsi="Times New Roman" w:eastAsia="Times New Roman" w:cs="Times New Roman"/>
                <w:bCs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Признать соответствующей требованиям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Документации о закупке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 xml:space="preserve"> и допустить к дальнейшему участию заявку единственного Участника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lang w:eastAsia="ru-RU"/>
              </w:rPr>
              <w:t xml:space="preserve"> </w:t>
              <w:br/>
            </w:r>
            <w:r>
              <w:rPr>
                <w:rFonts w:ascii="Times New Roman" w:hAnsi="Times New Roman" w:eastAsia="Calibri" w:cs="Calibri"/>
                <w:color w:val="000000"/>
                <w:sz w:val="20"/>
                <w:szCs w:val="20"/>
                <w:lang w:val="en-US"/>
              </w:rPr>
              <w:t xml:space="preserve">ООО "КУБАНЬЭКОНЕФТЬРЕСУРС"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  <w:lang w:eastAsia="ru-RU"/>
              </w:rPr>
            </w:r>
          </w:p>
        </w:tc>
      </w:tr>
    </w:tbl>
    <w:p>
      <w:pPr>
        <w:pStyle w:val="874"/>
        <w:ind w:left="-567"/>
        <w:jc w:val="both"/>
        <w:spacing w:after="0" w:line="240" w:lineRule="auto"/>
        <w:tabs>
          <w:tab w:val="left" w:pos="-562" w:leader="none"/>
        </w:tabs>
        <w:rPr>
          <w:rFonts w:ascii="Times New Roman" w:hAnsi="Times New Roman" w:cs="Times New Roman" w:eastAsiaTheme="minorEastAsia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2.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ab/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В соответствии с п.5.4.9., 5.4.9.1., 5.4.9.2. Документации о закупке, проведена 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процедур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а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 понижения цены заявк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и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 участник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а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 (переторжк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а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)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: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</w:r>
    </w:p>
    <w:p>
      <w:pPr>
        <w:numPr>
          <w:ilvl w:val="0"/>
          <w:numId w:val="14"/>
        </w:numPr>
        <w:ind w:left="-567" w:right="57" w:firstLine="0"/>
        <w:jc w:val="both"/>
        <w:spacing w:after="0" w:line="240" w:lineRule="auto"/>
        <w:tabs>
          <w:tab w:val="left" w:pos="-567" w:leader="none"/>
          <w:tab w:val="num" w:pos="-426" w:leader="none"/>
          <w:tab w:val="left" w:pos="567" w:leader="none"/>
          <w:tab w:val="left" w:pos="1134" w:leader="none"/>
        </w:tabs>
        <w:rPr>
          <w:rFonts w:ascii="Times New Roman" w:hAnsi="Times New Roman" w:cs="Times New Roman" w:eastAsiaTheme="minorEastAsia"/>
          <w:sz w:val="24"/>
          <w:szCs w:val="24"/>
          <w:lang w:eastAsia="ru-RU"/>
        </w:rPr>
      </w:pP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форма проведения процедуры переторжки - очная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 с использованием функционала «РТС-Тендер»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.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</w:r>
    </w:p>
    <w:p>
      <w:pPr>
        <w:ind w:left="-567"/>
        <w:jc w:val="both"/>
        <w:spacing w:after="0"/>
        <w:tabs>
          <w:tab w:val="num" w:pos="-567" w:leader="none"/>
          <w:tab w:val="num" w:pos="66" w:leader="none"/>
        </w:tabs>
        <w:rPr>
          <w:rFonts w:ascii="Times New Roman" w:hAnsi="Times New Roman" w:cs="Times New Roman" w:eastAsiaTheme="minorEastAsia"/>
          <w:sz w:val="24"/>
          <w:szCs w:val="24"/>
          <w:lang w:eastAsia="ru-RU"/>
        </w:rPr>
      </w:pP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дат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а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 и время 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проведения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 процедуры переторжки – «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12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» 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декабря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 2025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 года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br/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1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0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 ча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  <w:t xml:space="preserve">сов 00 минут (время московское).</w:t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</w:r>
      <w:r>
        <w:rPr>
          <w:rFonts w:ascii="Times New Roman" w:hAnsi="Times New Roman" w:cs="Times New Roman" w:eastAsiaTheme="minorEastAsia"/>
          <w:sz w:val="24"/>
          <w:szCs w:val="24"/>
          <w:lang w:eastAsia="ru-RU"/>
        </w:rPr>
      </w:r>
    </w:p>
    <w:p>
      <w:pPr>
        <w:contextualSpacing/>
        <w:ind w:left="-567" w:firstLine="0"/>
        <w:spacing w:before="100" w:beforeAutospacing="1" w:after="120" w:line="240" w:lineRule="auto"/>
        <w:tabs>
          <w:tab w:val="left" w:pos="-562" w:leader="none"/>
        </w:tabs>
        <w:rPr>
          <w:rFonts w:ascii="Times New Roman" w:hAnsi="Times New Roman" w:cs="Times New Roman" w:eastAsiaTheme="minorEastAsia"/>
          <w:b/>
          <w:bCs/>
          <w:caps/>
          <w:sz w:val="24"/>
          <w:szCs w:val="24"/>
          <w:lang w:eastAsia="ru-RU"/>
          <w14:ligatures w14:val="none"/>
        </w:rPr>
      </w:pPr>
      <w:r>
        <w:rPr>
          <w:rFonts w:ascii="Times New Roman" w:hAnsi="Times New Roman" w:cs="Times New Roman" w:eastAsiaTheme="minorEastAsia"/>
          <w:b/>
          <w:bCs/>
          <w:caps/>
          <w:sz w:val="24"/>
          <w:szCs w:val="24"/>
          <w:lang w:eastAsia="ru-RU"/>
        </w:rPr>
      </w:r>
      <w:r>
        <w:rPr>
          <w:rFonts w:ascii="Times New Roman" w:hAnsi="Times New Roman" w:cs="Times New Roman" w:eastAsiaTheme="minorEastAsia"/>
          <w:b/>
          <w:bCs/>
          <w:caps/>
          <w:sz w:val="24"/>
          <w:szCs w:val="24"/>
          <w:lang w:eastAsia="ru-RU"/>
        </w:rPr>
      </w:r>
    </w:p>
    <w:p>
      <w:pPr>
        <w:numPr>
          <w:ilvl w:val="0"/>
          <w:numId w:val="6"/>
        </w:numPr>
        <w:contextualSpacing/>
        <w:ind w:left="-567"/>
        <w:spacing w:before="100" w:beforeAutospacing="1" w:after="120" w:line="240" w:lineRule="auto"/>
        <w:tabs>
          <w:tab w:val="left" w:pos="-562" w:leader="none"/>
        </w:tabs>
        <w:rPr>
          <w:rFonts w:ascii="Times New Roman" w:hAnsi="Times New Roman" w:cs="Times New Roman"/>
          <w:b/>
          <w:bCs/>
          <w:sz w:val="24"/>
          <w:szCs w:val="24"/>
          <w:lang w:eastAsia="ru-RU"/>
          <w14:ligatures w14:val="none"/>
        </w:rPr>
      </w:pPr>
      <w:r>
        <w:rPr>
          <w:rFonts w:ascii="Times New Roman" w:hAnsi="Times New Roman" w:cs="Times New Roman" w:eastAsiaTheme="minorEastAsia"/>
          <w:b/>
          <w:bCs/>
          <w:caps/>
          <w:sz w:val="24"/>
          <w:szCs w:val="24"/>
          <w:lang w:eastAsia="ru-RU"/>
        </w:rPr>
        <w:t xml:space="preserve">СВЕДЕНИЯ О ЦЕНОВЫХ ПРЕДЛОЖЕНИЯХ:</w:t>
      </w:r>
      <w:r>
        <w:rPr>
          <w:rFonts w:ascii="Times New Roman" w:hAnsi="Times New Roman" w:cs="Times New Roman" w:eastAsiaTheme="minorEastAsia"/>
          <w:b/>
          <w:bCs/>
          <w:caps/>
          <w:sz w:val="24"/>
          <w:szCs w:val="24"/>
          <w:lang w:eastAsia="ru-RU"/>
        </w:rPr>
      </w:r>
      <w:r>
        <w:rPr>
          <w:rFonts w:ascii="Times New Roman" w:hAnsi="Times New Roman" w:cs="Times New Roman" w:eastAsiaTheme="minorEastAsia"/>
          <w:b/>
          <w:bCs/>
          <w:caps/>
          <w:sz w:val="24"/>
          <w:szCs w:val="24"/>
          <w:lang w:eastAsia="ru-RU"/>
        </w:rPr>
      </w:r>
    </w:p>
    <w:tbl>
      <w:tblPr>
        <w:tblW w:w="5364" w:type="pct"/>
        <w:jc w:val="center"/>
        <w:tblInd w:w="-506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598"/>
        <w:gridCol w:w="3796"/>
        <w:gridCol w:w="1559"/>
        <w:gridCol w:w="1434"/>
        <w:gridCol w:w="1573"/>
        <w:gridCol w:w="1307"/>
      </w:tblGrid>
      <w:tr>
        <w:tblPrEx/>
        <w:trPr>
          <w:cantSplit/>
          <w:jc w:val="center"/>
          <w:trHeight w:val="443"/>
          <w:tblHeader/>
        </w:trPr>
        <w:tc>
          <w:tcPr>
            <w:tcW w:w="598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№ 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</w:r>
          </w:p>
        </w:tc>
        <w:tc>
          <w:tcPr>
            <w:tcW w:w="379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tabs>
                <w:tab w:val="left" w:pos="1134" w:leader="none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Участник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закупки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gridSpan w:val="2"/>
            <w:tcW w:w="299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Цена Заявки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gridSpan w:val="2"/>
            <w:tcW w:w="2880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Цена Заявки Участника после проведения переторжки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blPrEx/>
        <w:trPr>
          <w:cantSplit/>
          <w:jc w:val="center"/>
          <w:trHeight w:val="420"/>
          <w:tblHeader/>
        </w:trPr>
        <w:tc>
          <w:tcPr>
            <w:tcW w:w="598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</w:r>
            <w:r>
              <w:rPr>
                <w:bCs/>
              </w:rPr>
            </w:r>
            <w:r>
              <w:rPr>
                <w:bCs/>
              </w:rPr>
            </w:r>
          </w:p>
        </w:tc>
        <w:tc>
          <w:tcPr>
            <w:tcBorders>
              <w:bottom w:val="single" w:color="000000" w:sz="4" w:space="0"/>
            </w:tcBorders>
            <w:tcW w:w="3796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tabs>
                <w:tab w:val="left" w:pos="1134" w:leader="none"/>
              </w:tabs>
            </w:pPr>
            <w:r/>
            <w:r/>
            <w:r/>
          </w:p>
        </w:tc>
        <w:tc>
          <w:tcPr>
            <w:tcBorders>
              <w:bottom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jc w:val="center"/>
              <w:widowControl w:val="off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рублей без НДС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>
              <w:bottom w:val="single" w:color="000000" w:sz="4" w:space="0"/>
            </w:tcBorders>
            <w:tcW w:w="143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рублей с НДС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>
              <w:bottom w:val="single" w:color="000000" w:sz="4" w:space="0"/>
            </w:tcBorders>
            <w:tcW w:w="157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рублей без НДС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>
              <w:bottom w:val="single" w:color="000000" w:sz="4" w:space="0"/>
            </w:tcBorders>
            <w:tcW w:w="130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рублей с НДС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</w:tr>
      <w:tr>
        <w:tblPrEx/>
        <w:trPr>
          <w:jc w:val="center"/>
          <w:trHeight w:val="865"/>
        </w:trPr>
        <w:tc>
          <w:tcPr>
            <w:tcW w:w="598" w:type="dxa"/>
            <w:vAlign w:val="center"/>
            <w:textDirection w:val="lrTb"/>
            <w:noWrap w:val="false"/>
          </w:tcPr>
          <w:p>
            <w:pPr>
              <w:jc w:val="center"/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tcW w:w="3796" w:type="dxa"/>
            <w:vAlign w:val="center"/>
            <w:textDirection w:val="lrTb"/>
            <w:noWrap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shd w:val="clear" w:color="auto" w:fill="ffffff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ООО "КУБАНЬЭКОНЕФТЬРЕСУРС"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576 000,00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434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*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576 000,00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57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576 000,00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14:ligatures w14:val="none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07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color w:val="000000"/>
                <w14:ligatures w14:val="non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*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shd w:val="clear" w:color="auto" w:fill="ffffff"/>
              </w:rPr>
              <w:t xml:space="preserve">576 000,00</w:t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14:ligatures w14:val="none"/>
              </w:rPr>
            </w:r>
          </w:p>
        </w:tc>
      </w:tr>
    </w:tbl>
    <w:p>
      <w:pPr>
        <w:contextualSpacing/>
        <w:spacing w:before="0" w:beforeAutospacing="0" w:after="0" w:afterAutospacing="0" w:line="240" w:lineRule="auto"/>
        <w:tabs>
          <w:tab w:val="left" w:pos="-562" w:leader="none"/>
        </w:tabs>
        <w:rPr>
          <w:rFonts w:ascii="Times New Roman" w:hAnsi="Times New Roman" w:cs="Times New Roman"/>
          <w:b/>
          <w:bCs/>
          <w:caps/>
          <w:sz w:val="24"/>
          <w:szCs w:val="24"/>
          <w14:ligatures w14:val="none"/>
        </w:rPr>
      </w:pPr>
      <w:r>
        <w:rPr>
          <w:rFonts w:ascii="Times New Roman" w:hAnsi="Times New Roman" w:eastAsia="Times New Roman" w:cs="Times New Roman" w:eastAsiaTheme="minorEastAsia"/>
          <w:b/>
          <w:bCs/>
          <w:caps/>
          <w:sz w:val="20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Times New Roman"/>
          <w:b/>
          <w:bCs/>
          <w:sz w:val="20"/>
          <w:szCs w:val="20"/>
          <w:highlight w:val="none"/>
        </w:rPr>
        <w:t xml:space="preserve">*-применяется УСН</w:t>
      </w:r>
      <w:r>
        <w:rPr>
          <w:rFonts w:ascii="Times New Roman" w:hAnsi="Times New Roman" w:eastAsia="Times New Roman" w:cs="Times New Roman" w:eastAsiaTheme="minorEastAsia"/>
          <w:b/>
          <w:bCs/>
          <w:caps/>
          <w:sz w:val="20"/>
          <w:szCs w:val="20"/>
          <w:lang w:eastAsia="ru-RU"/>
          <w14:ligatures w14:val="none"/>
        </w:rPr>
      </w:r>
      <w:r>
        <w:rPr>
          <w:rFonts w:ascii="Times New Roman" w:hAnsi="Times New Roman" w:eastAsia="Times New Roman" w:cs="Times New Roman" w:eastAsiaTheme="minorEastAsia"/>
          <w:b/>
          <w:bCs/>
          <w:caps/>
          <w:sz w:val="20"/>
          <w:szCs w:val="20"/>
          <w:lang w:eastAsia="ru-RU"/>
          <w14:ligatures w14:val="none"/>
        </w:rPr>
      </w:r>
    </w:p>
    <w:p>
      <w:pPr>
        <w:ind w:left="-567"/>
        <w:spacing w:before="0" w:beforeAutospacing="0" w:after="0" w:afterAutospacing="0" w:line="240" w:lineRule="auto"/>
        <w:tabs>
          <w:tab w:val="left" w:pos="-567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6"/>
        </w:numPr>
        <w:contextualSpacing/>
        <w:ind w:left="-567"/>
        <w:spacing w:before="100" w:beforeAutospacing="1" w:after="120" w:line="240" w:lineRule="auto"/>
        <w:tabs>
          <w:tab w:val="left" w:pos="-562" w:leader="none"/>
          <w:tab w:val="clear" w:pos="208" w:leader="none"/>
        </w:tabs>
        <w:rPr>
          <w:rFonts w:ascii="Times New Roman" w:hAnsi="Times New Roman" w:cs="Times New Roman" w:eastAsiaTheme="minorEastAsia"/>
          <w:sz w:val="24"/>
          <w:szCs w:val="24"/>
          <w:lang w:eastAsia="ru-RU"/>
          <w14:ligatures w14:val="none"/>
        </w:rPr>
      </w:pPr>
      <w:r>
        <w:rPr>
          <w:rFonts w:ascii="Times New Roman" w:hAnsi="Times New Roman" w:cs="Times New Roman" w:eastAsiaTheme="minorEastAsia"/>
          <w:b/>
          <w:bCs/>
          <w:caps/>
          <w:sz w:val="24"/>
          <w:szCs w:val="24"/>
          <w:lang w:eastAsia="ru-RU"/>
        </w:rPr>
        <w:t xml:space="preserve">РЕЗУЛЬТАТЫ ОЦЕНКИ ЗАЯВОК УЧАСТНИКОВ</w:t>
      </w:r>
      <w:r>
        <w:rPr>
          <w:rFonts w:ascii="Times New Roman" w:hAnsi="Times New Roman" w:cs="Times New Roman" w:eastAsiaTheme="minorEastAsia"/>
          <w:b/>
          <w:bCs/>
          <w:caps/>
          <w:sz w:val="24"/>
          <w:szCs w:val="24"/>
          <w:lang w:eastAsia="ru-RU"/>
        </w:rPr>
        <w:t xml:space="preserve">:</w:t>
      </w:r>
      <w:r>
        <w:rPr>
          <w:rFonts w:ascii="Times New Roman" w:hAnsi="Times New Roman" w:cs="Times New Roman" w:eastAsiaTheme="minorEastAsia"/>
          <w:b/>
          <w:bCs/>
          <w:caps/>
          <w:sz w:val="24"/>
          <w:szCs w:val="24"/>
          <w:lang w:eastAsia="ru-RU"/>
        </w:rPr>
      </w:r>
    </w:p>
    <w:p>
      <w:pPr>
        <w:ind w:left="-567"/>
        <w:spacing w:before="0" w:beforeAutospacing="0" w:after="0" w:afterAutospacing="0" w:line="240" w:lineRule="auto"/>
        <w:tabs>
          <w:tab w:val="left" w:pos="-567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1.</w:t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В соответствии с п. 2 Приложения № 1 к Части II «ИНФОРМАЦИОННАЯ КАРТА ЗАКУПКИ» Документации о закупке в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случае поступления на этап оценки единственной заявки проведение оценки не осуществляется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 xml:space="preserve">.</w:t>
      </w:r>
      <w:r/>
      <w:r>
        <w:rPr>
          <w:rFonts w:ascii="Times New Roman" w:hAnsi="Times New Roman" w:cs="Times New Roman"/>
          <w:sz w:val="24"/>
          <w:szCs w:val="24"/>
          <w:highlight w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-567"/>
        <w:spacing w:before="0" w:beforeAutospacing="0" w:after="0" w:afterAutospacing="0" w:line="240" w:lineRule="auto"/>
        <w:tabs>
          <w:tab w:val="left" w:pos="-567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-567"/>
        <w:spacing w:before="0" w:beforeAutospacing="0" w:after="0" w:afterAutospacing="0" w:line="240" w:lineRule="auto"/>
        <w:tabs>
          <w:tab w:val="left" w:pos="-567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numPr>
          <w:ilvl w:val="0"/>
          <w:numId w:val="6"/>
        </w:numPr>
        <w:contextualSpacing/>
        <w:ind w:left="-567"/>
        <w:spacing w:before="100" w:beforeAutospacing="1" w:after="120" w:line="240" w:lineRule="auto"/>
        <w:tabs>
          <w:tab w:val="left" w:pos="-562" w:leader="none"/>
          <w:tab w:val="clear" w:pos="208" w:leader="none"/>
        </w:tabs>
        <w:rPr>
          <w:rFonts w:ascii="Times New Roman" w:hAnsi="Times New Roman" w:cs="Times New Roman"/>
          <w:sz w:val="24"/>
          <w:szCs w:val="24"/>
          <w:lang w:eastAsia="ru-RU"/>
          <w14:ligatures w14:val="none"/>
        </w:rPr>
      </w:pPr>
      <w:r>
        <w:rPr>
          <w:rFonts w:ascii="Times New Roman" w:hAnsi="Times New Roman" w:cs="Times New Roman" w:eastAsiaTheme="minorEastAsia"/>
          <w:b/>
          <w:bCs/>
          <w:caps/>
          <w:sz w:val="24"/>
          <w:szCs w:val="24"/>
          <w:lang w:eastAsia="ru-RU"/>
        </w:rPr>
        <w:t xml:space="preserve">решениЕ ЗАКУПОЧНОЙ КОМИССИИ</w:t>
      </w:r>
      <w:r>
        <w:rPr>
          <w:rFonts w:ascii="Times New Roman" w:hAnsi="Times New Roman" w:cs="Times New Roman" w:eastAsiaTheme="minorEastAsia"/>
          <w:b/>
          <w:bCs/>
          <w:caps/>
          <w:sz w:val="24"/>
          <w:szCs w:val="24"/>
          <w:lang w:eastAsia="ru-RU"/>
        </w:rPr>
        <w:t xml:space="preserve">:</w:t>
      </w:r>
      <w:r>
        <w:rPr>
          <w:rFonts w:ascii="Times New Roman" w:hAnsi="Times New Roman" w:cs="Times New Roman" w:eastAsiaTheme="minorEastAsia"/>
          <w:b/>
          <w:bCs/>
          <w:caps/>
          <w:sz w:val="24"/>
          <w:szCs w:val="24"/>
          <w:lang w:eastAsia="ru-RU"/>
        </w:rPr>
      </w:r>
    </w:p>
    <w:p>
      <w:pPr>
        <w:pStyle w:val="874"/>
        <w:spacing w:after="0" w:afterAutospac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-567"/>
        <w:jc w:val="both"/>
        <w:spacing w:after="0" w:afterAutospacing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 xml:space="preserve">1.</w:t>
      </w:r>
      <w:r>
        <w:rPr>
          <w:rFonts w:ascii="Times New Roman" w:hAnsi="Times New Roman" w:cs="Times New Roman"/>
          <w:bCs/>
          <w:i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 xml:space="preserve">Заказчику </w:t>
      </w:r>
      <w:r>
        <w:rPr>
          <w:rFonts w:ascii="Times New Roman" w:hAnsi="Times New Roman" w:cs="Times New Roman"/>
          <w:bCs/>
          <w:sz w:val="24"/>
          <w:szCs w:val="24"/>
        </w:rPr>
        <w:t xml:space="preserve">закупки</w:t>
      </w:r>
      <w:r>
        <w:rPr>
          <w:rFonts w:ascii="Times New Roman" w:hAnsi="Times New Roman" w:cs="Times New Roman"/>
          <w:bCs/>
          <w:sz w:val="24"/>
          <w:szCs w:val="24"/>
        </w:rPr>
        <w:t xml:space="preserve">: директору филиала </w:t>
      </w:r>
      <w:r>
        <w:rPr>
          <w:rFonts w:ascii="Times New Roman" w:hAnsi="Times New Roman" w:cs="Times New Roman"/>
          <w:bCs/>
          <w:sz w:val="24"/>
          <w:szCs w:val="24"/>
        </w:rPr>
        <w:t xml:space="preserve">ПАО «Россети»</w:t>
      </w:r>
      <w:r>
        <w:rPr>
          <w:rFonts w:ascii="Times New Roman" w:hAnsi="Times New Roman" w:cs="Times New Roman"/>
          <w:bCs/>
          <w:sz w:val="24"/>
          <w:szCs w:val="24"/>
        </w:rPr>
        <w:t xml:space="preserve">-</w:t>
      </w:r>
      <w:r>
        <w:rPr>
          <w:rFonts w:ascii="Times New Roman" w:hAnsi="Times New Roman" w:cs="Times New Roman"/>
          <w:bCs/>
          <w:sz w:val="24"/>
          <w:szCs w:val="24"/>
        </w:rPr>
      </w:r>
      <w:r>
        <w:rPr>
          <w:rFonts w:ascii="Times New Roman" w:hAnsi="Times New Roman" w:cs="Times New Roman"/>
          <w:bCs/>
          <w:sz w:val="24"/>
          <w:szCs w:val="24"/>
        </w:rPr>
        <w:t xml:space="preserve">Северо-Кавказское</w:t>
      </w:r>
      <w:r>
        <w:rPr>
          <w:rFonts w:ascii="Times New Roman" w:hAnsi="Times New Roman" w:cs="Times New Roman"/>
          <w:bCs/>
          <w:sz w:val="24"/>
          <w:szCs w:val="24"/>
        </w:rPr>
      </w:r>
      <w:r>
        <w:rPr>
          <w:rFonts w:ascii="Times New Roman" w:hAnsi="Times New Roman" w:cs="Times New Roman"/>
          <w:bCs/>
          <w:sz w:val="24"/>
          <w:szCs w:val="24"/>
        </w:rPr>
        <w:t xml:space="preserve"> ПМЭС </w:t>
      </w:r>
      <w:r>
        <w:rPr>
          <w:rFonts w:ascii="Times New Roman" w:hAnsi="Times New Roman" w:cs="Times New Roman"/>
          <w:bCs/>
          <w:sz w:val="24"/>
          <w:szCs w:val="24"/>
        </w:rPr>
        <w:br/>
      </w:r>
      <w:r>
        <w:rPr>
          <w:rFonts w:ascii="Times New Roman" w:hAnsi="Times New Roman" w:cs="Times New Roman"/>
          <w:bCs/>
          <w:sz w:val="24"/>
          <w:szCs w:val="24"/>
        </w:rPr>
        <w:t xml:space="preserve">(</w:t>
      </w:r>
      <w:r>
        <w:rPr>
          <w:rFonts w:ascii="Times New Roman" w:hAnsi="Times New Roman" w:cs="Times New Roman"/>
          <w:bCs/>
          <w:sz w:val="24"/>
          <w:szCs w:val="24"/>
        </w:rPr>
      </w:r>
      <w:r>
        <w:rPr>
          <w:rFonts w:ascii="Times New Roman" w:hAnsi="Times New Roman" w:cs="Times New Roman"/>
          <w:bCs/>
          <w:sz w:val="24"/>
          <w:szCs w:val="24"/>
        </w:rPr>
        <w:t xml:space="preserve">Болдышев С.В.</w:t>
      </w:r>
      <w:r>
        <w:rPr>
          <w:rFonts w:ascii="Times New Roman" w:hAnsi="Times New Roman" w:cs="Times New Roman"/>
          <w:bCs/>
          <w:sz w:val="24"/>
          <w:szCs w:val="24"/>
        </w:rPr>
      </w:r>
      <w:r>
        <w:rPr>
          <w:rFonts w:ascii="Times New Roman" w:hAnsi="Times New Roman" w:cs="Times New Roman"/>
          <w:bCs/>
          <w:sz w:val="24"/>
          <w:szCs w:val="24"/>
        </w:rPr>
        <w:t xml:space="preserve">):</w:t>
      </w:r>
      <w:r>
        <w:rPr>
          <w:rFonts w:ascii="Times New Roman" w:hAnsi="Times New Roman" w:cs="Times New Roman"/>
          <w:bCs/>
          <w:sz w:val="24"/>
          <w:szCs w:val="24"/>
        </w:rPr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ind w:left="-567"/>
        <w:jc w:val="both"/>
        <w:spacing w:after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1.1.</w:t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В срок не ранее, чем через 10 (десять) дней и не позднее, чем через 20 (двадцать) дней с даты размещения на официальном сайте Единой информационной системы в сфере закупок настоящего протокола заключить с </w:t>
      </w:r>
      <w:r>
        <w:rPr>
          <w:rFonts w:ascii="Times New Roman" w:hAnsi="Times New Roman" w:cs="Times New Roman"/>
          <w:bCs/>
          <w:sz w:val="24"/>
          <w:szCs w:val="24"/>
        </w:rPr>
      </w:r>
      <w:r>
        <w:rPr>
          <w:rFonts w:ascii="Times New Roman" w:hAnsi="Times New Roman" w:cs="Times New Roman"/>
          <w:bCs/>
          <w:sz w:val="24"/>
          <w:szCs w:val="24"/>
        </w:rPr>
        <w:t xml:space="preserve">ООО "КУБАНЬЭКОНЕФТЬРЕСУРС"</w:t>
      </w:r>
      <w:r>
        <w:rPr>
          <w:rFonts w:ascii="Times New Roman" w:hAnsi="Times New Roman" w:cs="Times New Roman"/>
          <w:bCs/>
          <w:sz w:val="24"/>
          <w:szCs w:val="24"/>
        </w:rPr>
      </w:r>
      <w:r>
        <w:rPr>
          <w:rFonts w:ascii="Times New Roman" w:hAnsi="Times New Roman" w:cs="Times New Roman"/>
          <w:bCs/>
          <w:sz w:val="24"/>
          <w:szCs w:val="24"/>
        </w:rPr>
        <w:t xml:space="preserve"> договор </w:t>
      </w:r>
      <w:r>
        <w:rPr>
          <w:rFonts w:ascii="Times New Roman" w:hAnsi="Times New Roman" w:cs="Times New Roman"/>
          <w:bCs/>
          <w:sz w:val="24"/>
          <w:szCs w:val="24"/>
        </w:rPr>
      </w:r>
      <w:r>
        <w:rPr>
          <w:rFonts w:ascii="Times New Roman" w:hAnsi="Times New Roman" w:cs="Times New Roman"/>
          <w:bCs/>
          <w:sz w:val="24"/>
          <w:szCs w:val="24"/>
        </w:rPr>
        <w:t xml:space="preserve">на оказание услуг по выполнению аварийно спасательному формированию на всех объектах ОПО СК ПМЭС для нужд филиала ПАО «Россети»-Северо-Кавказское ПМЭС</w:t>
      </w:r>
      <w:r>
        <w:rPr>
          <w:rFonts w:ascii="Times New Roman" w:hAnsi="Times New Roman" w:cs="Times New Roman"/>
          <w:bCs/>
          <w:sz w:val="24"/>
          <w:szCs w:val="24"/>
        </w:rPr>
      </w:r>
      <w:r>
        <w:rPr>
          <w:rFonts w:ascii="Times New Roman" w:hAnsi="Times New Roman" w:cs="Times New Roman"/>
          <w:bCs/>
          <w:sz w:val="24"/>
          <w:szCs w:val="24"/>
        </w:rPr>
        <w:t xml:space="preserve"> на сумму </w:t>
      </w:r>
      <w:r>
        <w:rPr>
          <w:rFonts w:ascii="Times New Roman" w:hAnsi="Times New Roman" w:cs="Times New Roman"/>
          <w:bCs/>
          <w:sz w:val="24"/>
          <w:szCs w:val="24"/>
        </w:rPr>
      </w:r>
      <w:r>
        <w:rPr>
          <w:rFonts w:ascii="Times New Roman" w:hAnsi="Times New Roman" w:cs="Times New Roman"/>
          <w:bCs/>
          <w:sz w:val="24"/>
          <w:szCs w:val="24"/>
        </w:rPr>
        <w:t xml:space="preserve">576 000,00</w:t>
      </w:r>
      <w:r>
        <w:rPr>
          <w:rFonts w:ascii="Times New Roman" w:hAnsi="Times New Roman" w:cs="Times New Roman"/>
          <w:bCs/>
          <w:sz w:val="24"/>
          <w:szCs w:val="24"/>
        </w:rPr>
      </w:r>
      <w:r>
        <w:rPr>
          <w:rFonts w:ascii="Times New Roman" w:hAnsi="Times New Roman" w:cs="Times New Roman"/>
          <w:bCs/>
          <w:sz w:val="24"/>
          <w:szCs w:val="24"/>
        </w:rPr>
        <w:t xml:space="preserve"> (</w:t>
      </w:r>
      <w:r>
        <w:rPr>
          <w:rFonts w:ascii="Times New Roman" w:hAnsi="Times New Roman" w:cs="Times New Roman"/>
          <w:bCs/>
          <w:sz w:val="24"/>
          <w:szCs w:val="24"/>
        </w:rPr>
      </w:r>
      <w:r>
        <w:rPr>
          <w:rFonts w:ascii="Times New Roman" w:hAnsi="Times New Roman" w:cs="Times New Roman"/>
          <w:bCs/>
          <w:sz w:val="24"/>
          <w:szCs w:val="24"/>
        </w:rPr>
        <w:t xml:space="preserve">Пятьсот семьдесят шесть тысяч) рублей 00 копеек</w:t>
      </w:r>
      <w:r>
        <w:rPr>
          <w:rFonts w:ascii="Times New Roman" w:hAnsi="Times New Roman" w:cs="Times New Roman"/>
          <w:bCs/>
          <w:sz w:val="24"/>
          <w:szCs w:val="24"/>
        </w:rPr>
      </w:r>
      <w:r>
        <w:rPr>
          <w:rFonts w:ascii="Times New Roman" w:hAnsi="Times New Roman" w:cs="Times New Roman"/>
          <w:bCs/>
          <w:sz w:val="24"/>
          <w:szCs w:val="24"/>
        </w:rPr>
        <w:t xml:space="preserve"> без НДС.</w:t>
      </w:r>
      <w:r>
        <w:rPr>
          <w:rFonts w:ascii="Times New Roman" w:hAnsi="Times New Roman" w:cs="Times New Roman"/>
          <w:bCs/>
          <w:sz w:val="24"/>
          <w:szCs w:val="24"/>
        </w:rPr>
      </w:r>
      <w:r>
        <w:rPr>
          <w:rFonts w:ascii="Times New Roman" w:hAnsi="Times New Roman" w:cs="Times New Roman"/>
          <w:bCs/>
          <w:sz w:val="24"/>
          <w:szCs w:val="24"/>
        </w:rPr>
      </w:r>
    </w:p>
    <w:p>
      <w:pPr>
        <w:ind w:left="-567"/>
        <w:jc w:val="both"/>
        <w:spacing w:after="0"/>
        <w:tabs>
          <w:tab w:val="num" w:pos="-567" w:leader="none"/>
          <w:tab w:val="num" w:pos="6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1.2.</w:t>
      </w:r>
      <w:r>
        <w:rPr>
          <w:rFonts w:ascii="Times New Roman" w:hAnsi="Times New Roman" w:cs="Times New Roman"/>
          <w:bCs/>
          <w:sz w:val="24"/>
          <w:szCs w:val="24"/>
        </w:rPr>
        <w:tab/>
        <w:tab/>
        <w:tab/>
        <w:tab/>
        <w:tab/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течение трех рабочих дней после заключения договора с </w:t>
        <w:br/>
      </w:r>
      <w:r>
        <w:rPr>
          <w:rFonts w:ascii="Times New Roman" w:hAnsi="Times New Roman"/>
          <w:bCs/>
          <w:sz w:val="24"/>
          <w:szCs w:val="24"/>
        </w:rPr>
      </w:r>
      <w:r>
        <w:rPr>
          <w:rFonts w:ascii="Times New Roman" w:hAnsi="Times New Roman"/>
          <w:bCs/>
          <w:sz w:val="24"/>
          <w:szCs w:val="24"/>
        </w:rPr>
        <w:t xml:space="preserve">ООО "КУБАНЬЭКОНЕФТЬРЕСУРС"</w:t>
      </w:r>
      <w:r>
        <w:rPr>
          <w:rFonts w:ascii="Times New Roman" w:hAnsi="Times New Roman"/>
          <w:bCs/>
          <w:sz w:val="24"/>
          <w:szCs w:val="24"/>
        </w:rPr>
      </w:r>
      <w:r>
        <w:rPr>
          <w:rFonts w:ascii="Times New Roman" w:hAnsi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направить копию договора в службу закупок филиала 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ПАО «Россети» - Магистральные электрические сети Юга</w:t>
      </w:r>
      <w:r>
        <w:rPr>
          <w:rFonts w:ascii="Times New Roman" w:hAnsi="Times New Roman" w:cs="Times New Roman"/>
          <w:bCs/>
          <w:sz w:val="24"/>
          <w:szCs w:val="24"/>
        </w:rPr>
        <w:t xml:space="preserve">.</w:t>
      </w:r>
      <w:r/>
      <w:r>
        <w:rPr>
          <w:rFonts w:ascii="Times New Roman" w:hAnsi="Times New Roman" w:cs="Times New Roman"/>
          <w:sz w:val="24"/>
          <w:szCs w:val="24"/>
          <w:highlight w:val="none"/>
          <w14:ligatures w14:val="none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-567"/>
        <w:jc w:val="both"/>
        <w:spacing w:after="0"/>
        <w:tabs>
          <w:tab w:val="num" w:pos="-567" w:leader="none"/>
          <w:tab w:val="num" w:pos="6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ind w:left="-567"/>
        <w:jc w:val="both"/>
        <w:spacing w:after="0"/>
        <w:tabs>
          <w:tab w:val="num" w:pos="-567" w:leader="none"/>
          <w:tab w:val="num" w:pos="6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W w:w="10171" w:type="dxa"/>
        <w:tblInd w:w="-56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2977"/>
        <w:gridCol w:w="1843"/>
        <w:gridCol w:w="2833"/>
      </w:tblGrid>
      <w:tr>
        <w:tblPrEx/>
        <w:trPr>
          <w:trHeight w:val="147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8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Председател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ь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 закупочной комиссии: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7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tabs>
                <w:tab w:val="left" w:pos="708" w:leader="none"/>
              </w:tabs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widowControl w:val="off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Смажко И.В.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3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iCs/>
                <w:sz w:val="24"/>
                <w:szCs w:val="24"/>
                <w:lang w:eastAsia="ru-RU"/>
              </w:rPr>
              <w:t xml:space="preserve">Первый з</w:t>
            </w:r>
            <w:r>
              <w:rPr>
                <w:rFonts w:ascii="Times New Roman" w:hAnsi="Times New Roman" w:eastAsia="Times New Roman" w:cs="Times New Roman"/>
                <w:bCs/>
                <w:iCs/>
                <w:sz w:val="24"/>
                <w:szCs w:val="24"/>
                <w:lang w:eastAsia="ru-RU"/>
              </w:rPr>
              <w:t xml:space="preserve">аместитель Генерального директора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 –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главный инженер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r>
          </w:p>
        </w:tc>
      </w:tr>
      <w:tr>
        <w:tblPrEx/>
        <w:trPr>
          <w:trHeight w:val="1641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518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iCs/>
                <w:sz w:val="24"/>
                <w:szCs w:val="24"/>
                <w:lang w:eastAsia="ru-RU"/>
              </w:rPr>
              <w:t xml:space="preserve">Секретарь закупочной комиссии (без права голоса):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977" w:type="dxa"/>
            <w:vAlign w:val="center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ind w:right="-123"/>
              <w:spacing w:after="0" w:line="240" w:lineRule="auto"/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  <w:t xml:space="preserve">Клевакин А.М.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  <w:lang w:eastAsia="ru-RU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833" w:type="dxa"/>
            <w:vAlign w:val="center"/>
            <w:textDirection w:val="lrTb"/>
            <w:noWrap w:val="false"/>
          </w:tcPr>
          <w:p>
            <w:pPr>
              <w:keepNext/>
              <w:spacing w:after="60" w:line="240" w:lineRule="auto"/>
              <w:rPr>
                <w:rFonts w:ascii="Times New Roman" w:hAnsi="Times New Roman" w:eastAsia="Times New Roman" w:cs="Times New Roman"/>
                <w:bCs/>
                <w:iCs/>
                <w:sz w:val="24"/>
                <w:szCs w:val="24"/>
                <w:lang w:eastAsia="ru-RU"/>
                <w14:ligatures w14:val="none"/>
              </w:rPr>
              <w:outlineLvl w:val="1"/>
            </w:pPr>
            <w:r>
              <w:rPr>
                <w:rFonts w:ascii="Times New Roman" w:hAnsi="Times New Roman" w:eastAsia="Times New Roman" w:cs="Times New Roman"/>
                <w:bCs/>
                <w:iCs/>
                <w:sz w:val="24"/>
                <w:szCs w:val="24"/>
                <w:lang w:eastAsia="ru-RU"/>
              </w:rPr>
              <w:t xml:space="preserve">Гла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вный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специалист отдела организации регламентированных закупок службы закупок</w:t>
            </w:r>
            <w:r>
              <w:rPr>
                <w:rFonts w:ascii="Times New Roman" w:hAnsi="Times New Roman" w:eastAsia="Times New Roman" w:cs="Times New Roman"/>
                <w:bCs/>
                <w:iCs/>
                <w:sz w:val="24"/>
                <w:szCs w:val="24"/>
                <w:lang w:eastAsia="ru-RU"/>
                <w14:ligatures w14:val="none"/>
              </w:rPr>
            </w:r>
            <w:r>
              <w:rPr>
                <w:rFonts w:ascii="Times New Roman" w:hAnsi="Times New Roman" w:eastAsia="Times New Roman" w:cs="Times New Roman"/>
                <w:bCs/>
                <w:iCs/>
                <w:sz w:val="24"/>
                <w:szCs w:val="24"/>
                <w:lang w:eastAsia="ru-RU"/>
                <w14:ligatures w14:val="none"/>
              </w:rPr>
            </w:r>
          </w:p>
        </w:tc>
      </w:tr>
    </w:tbl>
    <w:p>
      <w:pPr>
        <w:contextualSpacing/>
        <w:ind w:hanging="567"/>
        <w:jc w:val="both"/>
        <w:spacing w:after="0" w:line="240" w:lineRule="auto"/>
        <w:widowControl w:val="off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 CYR">
    <w:panose1 w:val="02020603050405020304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suff w:val="tab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suff w:val="tab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suff w:val="tab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>
    <w:multiLevelType w:val="hybridMultilevel"/>
    <w:lvl w:ilvl="0">
      <w:start w:val="1"/>
      <w:numFmt w:val="decimal"/>
      <w:pStyle w:val="853"/>
      <w:isLgl w:val="false"/>
      <w:suff w:val="tab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854"/>
      <w:isLgl w:val="false"/>
      <w:suff w:val="tab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855"/>
      <w:isLgl w:val="false"/>
      <w:suff w:val="tab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856"/>
      <w:isLgl w:val="false"/>
      <w:suff w:val="tab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857"/>
      <w:isLgl w:val="false"/>
      <w:suff w:val="tab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  <w:rPr>
        <w:rFonts w:hint="default"/>
      </w:rPr>
    </w:lvl>
  </w:abstractNum>
  <w:abstractNum w:abstractNumId="4">
    <w:multiLevelType w:val="hybridMultilevel"/>
    <w:lvl w:ilvl="0">
      <w:start w:val="3"/>
      <w:numFmt w:val="upperRoman"/>
      <w:isLgl w:val="false"/>
      <w:suff w:val="tab"/>
      <w:lvlText w:val="%1."/>
      <w:lvlJc w:val="left"/>
      <w:pPr>
        <w:ind w:left="928" w:hanging="360"/>
        <w:tabs>
          <w:tab w:val="num" w:pos="208" w:leader="none"/>
        </w:tabs>
      </w:pPr>
      <w:rPr>
        <w:rFonts w:hint="default" w:cs="Times New Roman"/>
        <w:b/>
        <w:color w:val="000000"/>
        <w:sz w:val="24"/>
        <w:szCs w:val="24"/>
      </w:rPr>
    </w:lvl>
    <w:lvl w:ilvl="1">
      <w:start w:val="1"/>
      <w:numFmt w:val="decimal"/>
      <w:isLgl w:val="false"/>
      <w:suff w:val="tab"/>
      <w:lvlText w:val="%2."/>
      <w:lvlJc w:val="left"/>
      <w:pPr>
        <w:ind w:left="786" w:hanging="360"/>
        <w:tabs>
          <w:tab w:val="num" w:pos="66" w:leader="none"/>
        </w:tabs>
      </w:pPr>
      <w:rPr>
        <w:rFonts w:hint="default" w:cs="Times New Roman"/>
        <w:b w:val="0"/>
        <w:i w:val="0"/>
        <w:color w:val="000000"/>
        <w:sz w:val="24"/>
        <w:szCs w:val="24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  <w:rPr>
        <w:rFonts w:cs="Times New Roman"/>
      </w:rPr>
    </w:lvl>
  </w:abstractNum>
  <w:abstractNum w:abstractNumId="5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928" w:hanging="360"/>
        <w:tabs>
          <w:tab w:val="num" w:pos="208" w:leader="none"/>
        </w:tabs>
      </w:pPr>
      <w:rPr>
        <w:rFonts w:hint="default" w:cs="Times New Roman"/>
        <w:b/>
        <w:color w:val="000000"/>
        <w:sz w:val="24"/>
        <w:szCs w:val="24"/>
      </w:rPr>
    </w:lvl>
    <w:lvl w:ilvl="1">
      <w:start w:val="1"/>
      <w:numFmt w:val="decimal"/>
      <w:isLgl w:val="false"/>
      <w:suff w:val="tab"/>
      <w:lvlText w:val="%2."/>
      <w:lvlJc w:val="left"/>
      <w:pPr>
        <w:ind w:left="786" w:hanging="360"/>
        <w:tabs>
          <w:tab w:val="num" w:pos="66" w:leader="none"/>
        </w:tabs>
      </w:pPr>
      <w:rPr>
        <w:rFonts w:hint="default" w:cs="Times New Roman"/>
        <w:b w:val="0"/>
        <w:i w:val="0"/>
        <w:color w:val="000000"/>
        <w:sz w:val="24"/>
        <w:szCs w:val="24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  <w:rPr>
        <w:rFonts w:cs="Times New Roman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1417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37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7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7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7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7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7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7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7" w:hanging="360"/>
      </w:pPr>
      <w:rPr>
        <w:rFonts w:hint="default" w:ascii="Wingdings" w:hAnsi="Wingdings" w:eastAsia="Wingdings" w:cs="Wingdings"/>
      </w:r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928" w:hanging="360"/>
        <w:tabs>
          <w:tab w:val="num" w:pos="208" w:leader="none"/>
        </w:tabs>
      </w:pPr>
      <w:rPr>
        <w:rFonts w:hint="default" w:ascii="Symbol" w:hAnsi="Symbol"/>
        <w:b/>
        <w:color w:val="000000"/>
        <w:sz w:val="24"/>
        <w:szCs w:val="24"/>
      </w:rPr>
    </w:lvl>
    <w:lvl w:ilvl="1">
      <w:start w:val="1"/>
      <w:numFmt w:val="decimal"/>
      <w:isLgl w:val="false"/>
      <w:suff w:val="tab"/>
      <w:lvlText w:val="%2."/>
      <w:lvlJc w:val="left"/>
      <w:pPr>
        <w:ind w:left="786" w:hanging="360"/>
        <w:tabs>
          <w:tab w:val="num" w:pos="66" w:leader="none"/>
        </w:tabs>
      </w:pPr>
      <w:rPr>
        <w:rFonts w:hint="default" w:cs="Times New Roman"/>
        <w:b w:val="0"/>
        <w:i w:val="0"/>
        <w:color w:val="000000"/>
        <w:sz w:val="24"/>
        <w:szCs w:val="24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  <w:rPr>
        <w:rFonts w:cs="Times New Roman"/>
      </w:rPr>
    </w:lvl>
  </w:abstractNum>
  <w:abstractNum w:abstractNumId="14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720" w:hanging="720"/>
      </w:pPr>
      <w:rPr>
        <w:rFonts w:hint="default"/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5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928" w:hanging="360"/>
        <w:tabs>
          <w:tab w:val="num" w:pos="208" w:leader="none"/>
        </w:tabs>
      </w:pPr>
      <w:rPr>
        <w:rFonts w:hint="default" w:cs="Times New Roman"/>
        <w:b/>
        <w:color w:val="000000"/>
        <w:sz w:val="24"/>
        <w:szCs w:val="24"/>
      </w:rPr>
    </w:lvl>
    <w:lvl w:ilvl="1">
      <w:start w:val="1"/>
      <w:numFmt w:val="decimal"/>
      <w:isLgl w:val="false"/>
      <w:suff w:val="tab"/>
      <w:lvlText w:val="%2."/>
      <w:lvlJc w:val="left"/>
      <w:pPr>
        <w:ind w:left="786" w:hanging="360"/>
        <w:tabs>
          <w:tab w:val="num" w:pos="66" w:leader="none"/>
        </w:tabs>
      </w:pPr>
      <w:rPr>
        <w:rFonts w:hint="default" w:cs="Times New Roman"/>
        <w:b w:val="0"/>
        <w:i w:val="0"/>
        <w:color w:val="000000"/>
        <w:sz w:val="24"/>
        <w:szCs w:val="24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  <w:rPr>
        <w:rFonts w:cs="Times New Roman"/>
      </w:r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rFonts w:cs="Times New Roman"/>
      </w:r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  <w:rPr>
        <w:rFonts w:cs="Times New Roman"/>
      </w:r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  <w:rPr>
        <w:rFonts w:cs="Times New Roman"/>
      </w:r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  <w:rPr>
        <w:rFonts w:cs="Times New Roman"/>
      </w:r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  <w:rPr>
        <w:rFonts w:cs="Times New Roman"/>
      </w:r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  <w:rPr>
        <w:rFonts w:cs="Times New Roman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6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682">
    <w:name w:val="Heading 1 Char"/>
    <w:basedOn w:val="858"/>
    <w:link w:val="853"/>
    <w:uiPriority w:val="9"/>
    <w:rPr>
      <w:rFonts w:ascii="Arial" w:hAnsi="Arial" w:eastAsia="Arial" w:cs="Arial"/>
      <w:sz w:val="40"/>
      <w:szCs w:val="40"/>
    </w:rPr>
  </w:style>
  <w:style w:type="character" w:styleId="683">
    <w:name w:val="Heading 2 Char"/>
    <w:basedOn w:val="858"/>
    <w:link w:val="854"/>
    <w:uiPriority w:val="9"/>
    <w:rPr>
      <w:rFonts w:ascii="Arial" w:hAnsi="Arial" w:eastAsia="Arial" w:cs="Arial"/>
      <w:sz w:val="34"/>
    </w:rPr>
  </w:style>
  <w:style w:type="character" w:styleId="684">
    <w:name w:val="Heading 3 Char"/>
    <w:basedOn w:val="858"/>
    <w:link w:val="855"/>
    <w:uiPriority w:val="9"/>
    <w:rPr>
      <w:rFonts w:ascii="Arial" w:hAnsi="Arial" w:eastAsia="Arial" w:cs="Arial"/>
      <w:sz w:val="30"/>
      <w:szCs w:val="30"/>
    </w:rPr>
  </w:style>
  <w:style w:type="character" w:styleId="685">
    <w:name w:val="Heading 4 Char"/>
    <w:basedOn w:val="858"/>
    <w:link w:val="856"/>
    <w:uiPriority w:val="9"/>
    <w:rPr>
      <w:rFonts w:ascii="Arial" w:hAnsi="Arial" w:eastAsia="Arial" w:cs="Arial"/>
      <w:b/>
      <w:bCs/>
      <w:sz w:val="26"/>
      <w:szCs w:val="26"/>
    </w:rPr>
  </w:style>
  <w:style w:type="character" w:styleId="686">
    <w:name w:val="Heading 5 Char"/>
    <w:basedOn w:val="858"/>
    <w:link w:val="857"/>
    <w:uiPriority w:val="9"/>
    <w:rPr>
      <w:rFonts w:ascii="Arial" w:hAnsi="Arial" w:eastAsia="Arial" w:cs="Arial"/>
      <w:b/>
      <w:bCs/>
      <w:sz w:val="24"/>
      <w:szCs w:val="24"/>
    </w:rPr>
  </w:style>
  <w:style w:type="paragraph" w:styleId="687">
    <w:name w:val="Heading 6"/>
    <w:basedOn w:val="852"/>
    <w:next w:val="852"/>
    <w:link w:val="688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88">
    <w:name w:val="Heading 6 Char"/>
    <w:basedOn w:val="858"/>
    <w:link w:val="687"/>
    <w:uiPriority w:val="9"/>
    <w:rPr>
      <w:rFonts w:ascii="Arial" w:hAnsi="Arial" w:eastAsia="Arial" w:cs="Arial"/>
      <w:b/>
      <w:bCs/>
      <w:sz w:val="22"/>
      <w:szCs w:val="22"/>
    </w:rPr>
  </w:style>
  <w:style w:type="paragraph" w:styleId="689">
    <w:name w:val="Heading 7"/>
    <w:basedOn w:val="852"/>
    <w:next w:val="852"/>
    <w:link w:val="690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90">
    <w:name w:val="Heading 7 Char"/>
    <w:basedOn w:val="858"/>
    <w:link w:val="689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91">
    <w:name w:val="Heading 8"/>
    <w:basedOn w:val="852"/>
    <w:next w:val="852"/>
    <w:link w:val="692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92">
    <w:name w:val="Heading 8 Char"/>
    <w:basedOn w:val="858"/>
    <w:link w:val="691"/>
    <w:uiPriority w:val="9"/>
    <w:rPr>
      <w:rFonts w:ascii="Arial" w:hAnsi="Arial" w:eastAsia="Arial" w:cs="Arial"/>
      <w:i/>
      <w:iCs/>
      <w:sz w:val="22"/>
      <w:szCs w:val="22"/>
    </w:rPr>
  </w:style>
  <w:style w:type="paragraph" w:styleId="693">
    <w:name w:val="Heading 9"/>
    <w:basedOn w:val="852"/>
    <w:next w:val="852"/>
    <w:link w:val="69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94">
    <w:name w:val="Heading 9 Char"/>
    <w:basedOn w:val="858"/>
    <w:link w:val="693"/>
    <w:uiPriority w:val="9"/>
    <w:rPr>
      <w:rFonts w:ascii="Arial" w:hAnsi="Arial" w:eastAsia="Arial" w:cs="Arial"/>
      <w:i/>
      <w:iCs/>
      <w:sz w:val="21"/>
      <w:szCs w:val="21"/>
    </w:rPr>
  </w:style>
  <w:style w:type="paragraph" w:styleId="695">
    <w:name w:val="No Spacing"/>
    <w:uiPriority w:val="1"/>
    <w:qFormat/>
    <w:pPr>
      <w:spacing w:before="0" w:after="0" w:line="240" w:lineRule="auto"/>
    </w:pPr>
  </w:style>
  <w:style w:type="paragraph" w:styleId="696">
    <w:name w:val="Title"/>
    <w:basedOn w:val="852"/>
    <w:next w:val="852"/>
    <w:link w:val="69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97">
    <w:name w:val="Title Char"/>
    <w:basedOn w:val="858"/>
    <w:link w:val="696"/>
    <w:uiPriority w:val="10"/>
    <w:rPr>
      <w:sz w:val="48"/>
      <w:szCs w:val="48"/>
    </w:rPr>
  </w:style>
  <w:style w:type="paragraph" w:styleId="698">
    <w:name w:val="Subtitle"/>
    <w:basedOn w:val="852"/>
    <w:next w:val="852"/>
    <w:link w:val="699"/>
    <w:uiPriority w:val="11"/>
    <w:qFormat/>
    <w:pPr>
      <w:spacing w:before="200" w:after="200"/>
    </w:pPr>
    <w:rPr>
      <w:sz w:val="24"/>
      <w:szCs w:val="24"/>
    </w:rPr>
  </w:style>
  <w:style w:type="character" w:styleId="699">
    <w:name w:val="Subtitle Char"/>
    <w:basedOn w:val="858"/>
    <w:link w:val="698"/>
    <w:uiPriority w:val="11"/>
    <w:rPr>
      <w:sz w:val="24"/>
      <w:szCs w:val="24"/>
    </w:rPr>
  </w:style>
  <w:style w:type="paragraph" w:styleId="700">
    <w:name w:val="Quote"/>
    <w:basedOn w:val="852"/>
    <w:next w:val="852"/>
    <w:link w:val="701"/>
    <w:uiPriority w:val="29"/>
    <w:qFormat/>
    <w:pPr>
      <w:ind w:left="720" w:right="720"/>
    </w:pPr>
    <w:rPr>
      <w:i/>
    </w:rPr>
  </w:style>
  <w:style w:type="character" w:styleId="701">
    <w:name w:val="Quote Char"/>
    <w:link w:val="700"/>
    <w:uiPriority w:val="29"/>
    <w:rPr>
      <w:i/>
    </w:rPr>
  </w:style>
  <w:style w:type="paragraph" w:styleId="702">
    <w:name w:val="Intense Quote"/>
    <w:basedOn w:val="852"/>
    <w:next w:val="852"/>
    <w:link w:val="703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03">
    <w:name w:val="Intense Quote Char"/>
    <w:link w:val="702"/>
    <w:uiPriority w:val="30"/>
    <w:rPr>
      <w:i/>
    </w:rPr>
  </w:style>
  <w:style w:type="paragraph" w:styleId="704">
    <w:name w:val="Header"/>
    <w:basedOn w:val="852"/>
    <w:link w:val="70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5">
    <w:name w:val="Header Char"/>
    <w:basedOn w:val="858"/>
    <w:link w:val="704"/>
    <w:uiPriority w:val="99"/>
  </w:style>
  <w:style w:type="paragraph" w:styleId="706">
    <w:name w:val="Footer"/>
    <w:basedOn w:val="852"/>
    <w:link w:val="70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07">
    <w:name w:val="Footer Char"/>
    <w:basedOn w:val="858"/>
    <w:link w:val="706"/>
    <w:uiPriority w:val="99"/>
  </w:style>
  <w:style w:type="paragraph" w:styleId="708">
    <w:name w:val="Caption"/>
    <w:basedOn w:val="852"/>
    <w:next w:val="852"/>
    <w:link w:val="70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09">
    <w:name w:val="Caption Char"/>
    <w:basedOn w:val="858"/>
    <w:link w:val="708"/>
    <w:uiPriority w:val="35"/>
    <w:rPr>
      <w:b/>
      <w:bCs/>
      <w:color w:val="4f81bd" w:themeColor="accent1"/>
      <w:sz w:val="18"/>
      <w:szCs w:val="18"/>
    </w:rPr>
  </w:style>
  <w:style w:type="table" w:styleId="710">
    <w:name w:val="Table Grid Light"/>
    <w:basedOn w:val="85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11">
    <w:name w:val="Plain Table 1"/>
    <w:basedOn w:val="85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2">
    <w:name w:val="Plain Table 2"/>
    <w:basedOn w:val="85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13">
    <w:name w:val="Plain Table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14">
    <w:name w:val="Plain Table 4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5">
    <w:name w:val="Plain Table 5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16">
    <w:name w:val="Grid Table 1 Light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7">
    <w:name w:val="Grid Table 1 Light - Accent 1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8">
    <w:name w:val="Grid Table 1 Light - Accent 2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19">
    <w:name w:val="Grid Table 1 Light - Accent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0">
    <w:name w:val="Grid Table 1 Light - Accent 4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1">
    <w:name w:val="Grid Table 1 Light - Accent 5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2">
    <w:name w:val="Grid Table 1 Light - Accent 6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3">
    <w:name w:val="Grid Table 2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4">
    <w:name w:val="Grid Table 2 - Accent 1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5">
    <w:name w:val="Grid Table 2 - Accent 2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6">
    <w:name w:val="Grid Table 2 - Accent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7">
    <w:name w:val="Grid Table 2 - Accent 4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8">
    <w:name w:val="Grid Table 2 - Accent 5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9">
    <w:name w:val="Grid Table 2 - Accent 6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0">
    <w:name w:val="Grid Table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1">
    <w:name w:val="Grid Table 3 - Accent 1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2">
    <w:name w:val="Grid Table 3 - Accent 2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3">
    <w:name w:val="Grid Table 3 - Accent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Grid Table 3 - Accent 4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3 - Accent 5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3 - Accent 6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4"/>
    <w:basedOn w:val="85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38">
    <w:name w:val="Grid Table 4 - Accent 1"/>
    <w:basedOn w:val="85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39">
    <w:name w:val="Grid Table 4 - Accent 2"/>
    <w:basedOn w:val="85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40">
    <w:name w:val="Grid Table 4 - Accent 3"/>
    <w:basedOn w:val="85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41">
    <w:name w:val="Grid Table 4 - Accent 4"/>
    <w:basedOn w:val="85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42">
    <w:name w:val="Grid Table 4 - Accent 5"/>
    <w:basedOn w:val="85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43">
    <w:name w:val="Grid Table 4 - Accent 6"/>
    <w:basedOn w:val="85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44">
    <w:name w:val="Grid Table 5 Dark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45">
    <w:name w:val="Grid Table 5 Dark- Accent 1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746">
    <w:name w:val="Grid Table 5 Dark - Accent 2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747">
    <w:name w:val="Grid Table 5 Dark - Accent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748">
    <w:name w:val="Grid Table 5 Dark- Accent 4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749">
    <w:name w:val="Grid Table 5 Dark - Accent 5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750">
    <w:name w:val="Grid Table 5 Dark - Accent 6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751">
    <w:name w:val="Grid Table 6 Colorful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52">
    <w:name w:val="Grid Table 6 Colorful - Accent 1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53">
    <w:name w:val="Grid Table 6 Colorful - Accent 2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54">
    <w:name w:val="Grid Table 6 Colorful - Accent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55">
    <w:name w:val="Grid Table 6 Colorful - Accent 4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56">
    <w:name w:val="Grid Table 6 Colorful - Accent 5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57">
    <w:name w:val="Grid Table 6 Colorful - Accent 6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58">
    <w:name w:val="Grid Table 7 Colorful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9">
    <w:name w:val="Grid Table 7 Colorful - Accent 1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0">
    <w:name w:val="Grid Table 7 Colorful - Accent 2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1">
    <w:name w:val="Grid Table 7 Colorful - Accent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2">
    <w:name w:val="Grid Table 7 Colorful - Accent 4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3">
    <w:name w:val="Grid Table 7 Colorful - Accent 5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4">
    <w:name w:val="Grid Table 7 Colorful - Accent 6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5">
    <w:name w:val="List Table 1 Light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6">
    <w:name w:val="List Table 1 Light - Accent 1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7">
    <w:name w:val="List Table 1 Light - Accent 2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8">
    <w:name w:val="List Table 1 Light - Accent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List Table 1 Light - Accent 4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List Table 1 Light - Accent 5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List Table 1 Light - Accent 6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List Table 2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73">
    <w:name w:val="List Table 2 - Accent 1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74">
    <w:name w:val="List Table 2 - Accent 2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75">
    <w:name w:val="List Table 2 - Accent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76">
    <w:name w:val="List Table 2 - Accent 4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77">
    <w:name w:val="List Table 2 - Accent 5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78">
    <w:name w:val="List Table 2 - Accent 6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79">
    <w:name w:val="List Table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>
    <w:name w:val="List Table 3 - Accent 1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List Table 3 - Accent 2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2">
    <w:name w:val="List Table 3 - Accent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3">
    <w:name w:val="List Table 3 - Accent 4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4">
    <w:name w:val="List Table 3 - Accent 5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List Table 3 - Accent 6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List Table 4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>
    <w:name w:val="List Table 4 - Accent 1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8">
    <w:name w:val="List Table 4 - Accent 2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>
    <w:name w:val="List Table 4 - Accent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>
    <w:name w:val="List Table 4 - Accent 4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>
    <w:name w:val="List Table 4 - Accent 5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List Table 4 - Accent 6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List Table 5 Dark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4">
    <w:name w:val="List Table 5 Dark - Accent 1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5">
    <w:name w:val="List Table 5 Dark - Accent 2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6">
    <w:name w:val="List Table 5 Dark - Accent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7">
    <w:name w:val="List Table 5 Dark - Accent 4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8">
    <w:name w:val="List Table 5 Dark - Accent 5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99">
    <w:name w:val="List Table 5 Dark - Accent 6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0">
    <w:name w:val="List Table 6 Colorful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01">
    <w:name w:val="List Table 6 Colorful - Accent 1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02">
    <w:name w:val="List Table 6 Colorful - Accent 2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03">
    <w:name w:val="List Table 6 Colorful - Accent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04">
    <w:name w:val="List Table 6 Colorful - Accent 4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05">
    <w:name w:val="List Table 6 Colorful - Accent 5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06">
    <w:name w:val="List Table 6 Colorful - Accent 6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07">
    <w:name w:val="List Table 7 Colorful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08">
    <w:name w:val="List Table 7 Colorful - Accent 1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09">
    <w:name w:val="List Table 7 Colorful - Accent 2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10">
    <w:name w:val="List Table 7 Colorful - Accent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11">
    <w:name w:val="List Table 7 Colorful - Accent 4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12">
    <w:name w:val="List Table 7 Colorful - Accent 5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13">
    <w:name w:val="List Table 7 Colorful - Accent 6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14">
    <w:name w:val="Lined - Accent"/>
    <w:basedOn w:val="8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15">
    <w:name w:val="Lined - Accent 1"/>
    <w:basedOn w:val="8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16">
    <w:name w:val="Lined - Accent 2"/>
    <w:basedOn w:val="8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17">
    <w:name w:val="Lined - Accent 3"/>
    <w:basedOn w:val="8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18">
    <w:name w:val="Lined - Accent 4"/>
    <w:basedOn w:val="8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19">
    <w:name w:val="Lined - Accent 5"/>
    <w:basedOn w:val="8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20">
    <w:name w:val="Lined - Accent 6"/>
    <w:basedOn w:val="8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21">
    <w:name w:val="Bordered &amp; Lined - Accent"/>
    <w:basedOn w:val="8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2">
    <w:name w:val="Bordered &amp; Lined - Accent 1"/>
    <w:basedOn w:val="8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823">
    <w:name w:val="Bordered &amp; Lined - Accent 2"/>
    <w:basedOn w:val="8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824">
    <w:name w:val="Bordered &amp; Lined - Accent 3"/>
    <w:basedOn w:val="8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825">
    <w:name w:val="Bordered &amp; Lined - Accent 4"/>
    <w:basedOn w:val="8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826">
    <w:name w:val="Bordered &amp; Lined - Accent 5"/>
    <w:basedOn w:val="8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827">
    <w:name w:val="Bordered &amp; Lined - Accent 6"/>
    <w:basedOn w:val="85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828">
    <w:name w:val="Bordered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29">
    <w:name w:val="Bordered - Accent 1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30">
    <w:name w:val="Bordered - Accent 2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31">
    <w:name w:val="Bordered - Accent 3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32">
    <w:name w:val="Bordered - Accent 4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33">
    <w:name w:val="Bordered - Accent 5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34">
    <w:name w:val="Bordered - Accent 6"/>
    <w:basedOn w:val="85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835">
    <w:name w:val="footnote text"/>
    <w:basedOn w:val="852"/>
    <w:link w:val="836"/>
    <w:uiPriority w:val="99"/>
    <w:semiHidden/>
    <w:unhideWhenUsed/>
    <w:pPr>
      <w:spacing w:after="40" w:line="240" w:lineRule="auto"/>
    </w:pPr>
    <w:rPr>
      <w:sz w:val="18"/>
    </w:rPr>
  </w:style>
  <w:style w:type="character" w:styleId="836">
    <w:name w:val="Footnote Text Char"/>
    <w:link w:val="835"/>
    <w:uiPriority w:val="99"/>
    <w:rPr>
      <w:sz w:val="18"/>
    </w:rPr>
  </w:style>
  <w:style w:type="character" w:styleId="837">
    <w:name w:val="footnote reference"/>
    <w:basedOn w:val="858"/>
    <w:uiPriority w:val="99"/>
    <w:unhideWhenUsed/>
    <w:rPr>
      <w:vertAlign w:val="superscript"/>
    </w:rPr>
  </w:style>
  <w:style w:type="paragraph" w:styleId="838">
    <w:name w:val="endnote text"/>
    <w:basedOn w:val="852"/>
    <w:link w:val="839"/>
    <w:uiPriority w:val="99"/>
    <w:semiHidden/>
    <w:unhideWhenUsed/>
    <w:pPr>
      <w:spacing w:after="0" w:line="240" w:lineRule="auto"/>
    </w:pPr>
    <w:rPr>
      <w:sz w:val="20"/>
    </w:rPr>
  </w:style>
  <w:style w:type="character" w:styleId="839">
    <w:name w:val="Endnote Text Char"/>
    <w:link w:val="838"/>
    <w:uiPriority w:val="99"/>
    <w:rPr>
      <w:sz w:val="20"/>
    </w:rPr>
  </w:style>
  <w:style w:type="character" w:styleId="840">
    <w:name w:val="endnote reference"/>
    <w:basedOn w:val="858"/>
    <w:uiPriority w:val="99"/>
    <w:semiHidden/>
    <w:unhideWhenUsed/>
    <w:rPr>
      <w:vertAlign w:val="superscript"/>
    </w:rPr>
  </w:style>
  <w:style w:type="paragraph" w:styleId="841">
    <w:name w:val="toc 1"/>
    <w:basedOn w:val="852"/>
    <w:next w:val="852"/>
    <w:uiPriority w:val="39"/>
    <w:unhideWhenUsed/>
    <w:pPr>
      <w:ind w:left="0" w:right="0" w:firstLine="0"/>
      <w:spacing w:after="57"/>
    </w:pPr>
  </w:style>
  <w:style w:type="paragraph" w:styleId="842">
    <w:name w:val="toc 2"/>
    <w:basedOn w:val="852"/>
    <w:next w:val="852"/>
    <w:uiPriority w:val="39"/>
    <w:unhideWhenUsed/>
    <w:pPr>
      <w:ind w:left="283" w:right="0" w:firstLine="0"/>
      <w:spacing w:after="57"/>
    </w:pPr>
  </w:style>
  <w:style w:type="paragraph" w:styleId="843">
    <w:name w:val="toc 3"/>
    <w:basedOn w:val="852"/>
    <w:next w:val="852"/>
    <w:uiPriority w:val="39"/>
    <w:unhideWhenUsed/>
    <w:pPr>
      <w:ind w:left="567" w:right="0" w:firstLine="0"/>
      <w:spacing w:after="57"/>
    </w:pPr>
  </w:style>
  <w:style w:type="paragraph" w:styleId="844">
    <w:name w:val="toc 4"/>
    <w:basedOn w:val="852"/>
    <w:next w:val="852"/>
    <w:uiPriority w:val="39"/>
    <w:unhideWhenUsed/>
    <w:pPr>
      <w:ind w:left="850" w:right="0" w:firstLine="0"/>
      <w:spacing w:after="57"/>
    </w:pPr>
  </w:style>
  <w:style w:type="paragraph" w:styleId="845">
    <w:name w:val="toc 5"/>
    <w:basedOn w:val="852"/>
    <w:next w:val="852"/>
    <w:uiPriority w:val="39"/>
    <w:unhideWhenUsed/>
    <w:pPr>
      <w:ind w:left="1134" w:right="0" w:firstLine="0"/>
      <w:spacing w:after="57"/>
    </w:pPr>
  </w:style>
  <w:style w:type="paragraph" w:styleId="846">
    <w:name w:val="toc 6"/>
    <w:basedOn w:val="852"/>
    <w:next w:val="852"/>
    <w:uiPriority w:val="39"/>
    <w:unhideWhenUsed/>
    <w:pPr>
      <w:ind w:left="1417" w:right="0" w:firstLine="0"/>
      <w:spacing w:after="57"/>
    </w:pPr>
  </w:style>
  <w:style w:type="paragraph" w:styleId="847">
    <w:name w:val="toc 7"/>
    <w:basedOn w:val="852"/>
    <w:next w:val="852"/>
    <w:uiPriority w:val="39"/>
    <w:unhideWhenUsed/>
    <w:pPr>
      <w:ind w:left="1701" w:right="0" w:firstLine="0"/>
      <w:spacing w:after="57"/>
    </w:pPr>
  </w:style>
  <w:style w:type="paragraph" w:styleId="848">
    <w:name w:val="toc 8"/>
    <w:basedOn w:val="852"/>
    <w:next w:val="852"/>
    <w:uiPriority w:val="39"/>
    <w:unhideWhenUsed/>
    <w:pPr>
      <w:ind w:left="1984" w:right="0" w:firstLine="0"/>
      <w:spacing w:after="57"/>
    </w:pPr>
  </w:style>
  <w:style w:type="paragraph" w:styleId="849">
    <w:name w:val="toc 9"/>
    <w:basedOn w:val="852"/>
    <w:next w:val="852"/>
    <w:uiPriority w:val="39"/>
    <w:unhideWhenUsed/>
    <w:pPr>
      <w:ind w:left="2268" w:right="0" w:firstLine="0"/>
      <w:spacing w:after="57"/>
    </w:pPr>
  </w:style>
  <w:style w:type="paragraph" w:styleId="850">
    <w:name w:val="TOC Heading"/>
    <w:uiPriority w:val="39"/>
    <w:unhideWhenUsed/>
  </w:style>
  <w:style w:type="paragraph" w:styleId="851">
    <w:name w:val="table of figures"/>
    <w:basedOn w:val="852"/>
    <w:next w:val="852"/>
    <w:uiPriority w:val="99"/>
    <w:unhideWhenUsed/>
    <w:pPr>
      <w:spacing w:after="0" w:afterAutospacing="0"/>
    </w:pPr>
  </w:style>
  <w:style w:type="paragraph" w:styleId="852" w:default="1">
    <w:name w:val="Normal"/>
    <w:qFormat/>
  </w:style>
  <w:style w:type="paragraph" w:styleId="853">
    <w:name w:val="Heading 1"/>
    <w:basedOn w:val="852"/>
    <w:next w:val="852"/>
    <w:link w:val="863"/>
    <w:qFormat/>
    <w:pPr>
      <w:numPr>
        <w:ilvl w:val="0"/>
        <w:numId w:val="2"/>
      </w:numPr>
      <w:keepNext/>
      <w:pageBreakBefore/>
      <w:spacing w:before="240" w:after="240" w:line="240" w:lineRule="atLeast"/>
      <w:shd w:val="clear" w:color="auto" w:fill="000000"/>
      <w:widowControl w:val="off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854">
    <w:name w:val="Heading 2"/>
    <w:basedOn w:val="868"/>
    <w:next w:val="852"/>
    <w:link w:val="864"/>
    <w:qFormat/>
    <w:pPr>
      <w:numPr>
        <w:ilvl w:val="1"/>
        <w:numId w:val="2"/>
      </w:numPr>
      <w:ind w:left="630" w:hanging="630"/>
      <w:jc w:val="both"/>
      <w:keepLines/>
      <w:keepNext/>
      <w:spacing w:before="240" w:line="240" w:lineRule="auto"/>
      <w:widowControl w:val="off"/>
      <w:tabs>
        <w:tab w:val="left" w:pos="284" w:leader="none"/>
      </w:tabs>
      <w:pBdr>
        <w:bottom w:val="single" w:color="000000" w:sz="4" w:space="1"/>
      </w:pBdr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855">
    <w:name w:val="Heading 3"/>
    <w:basedOn w:val="852"/>
    <w:next w:val="852"/>
    <w:link w:val="865"/>
    <w:unhideWhenUsed/>
    <w:qFormat/>
    <w:pPr>
      <w:numPr>
        <w:ilvl w:val="2"/>
        <w:numId w:val="2"/>
      </w:numPr>
      <w:ind w:left="720"/>
      <w:keepNext/>
      <w:spacing w:before="240" w:after="12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856">
    <w:name w:val="Heading 4"/>
    <w:basedOn w:val="852"/>
    <w:next w:val="852"/>
    <w:link w:val="866"/>
    <w:unhideWhenUsed/>
    <w:qFormat/>
    <w:pPr>
      <w:numPr>
        <w:ilvl w:val="3"/>
        <w:numId w:val="2"/>
      </w:numPr>
      <w:ind w:left="1426"/>
      <w:keepNext/>
      <w:spacing w:before="240" w:after="6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857">
    <w:name w:val="Heading 5"/>
    <w:basedOn w:val="852"/>
    <w:next w:val="852"/>
    <w:link w:val="867"/>
    <w:uiPriority w:val="9"/>
    <w:qFormat/>
    <w:pPr>
      <w:numPr>
        <w:ilvl w:val="4"/>
        <w:numId w:val="2"/>
      </w:numPr>
      <w:keepNext/>
      <w:spacing w:before="240" w:after="60" w:line="240" w:lineRule="atLeast"/>
      <w:widowControl w:val="off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858" w:default="1">
    <w:name w:val="Default Paragraph Font"/>
    <w:uiPriority w:val="1"/>
    <w:semiHidden/>
    <w:unhideWhenUsed/>
  </w:style>
  <w:style w:type="table" w:styleId="85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60" w:default="1">
    <w:name w:val="No List"/>
    <w:uiPriority w:val="99"/>
    <w:semiHidden/>
    <w:unhideWhenUsed/>
  </w:style>
  <w:style w:type="paragraph" w:styleId="861">
    <w:name w:val="Document Map"/>
    <w:basedOn w:val="852"/>
    <w:link w:val="862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862" w:customStyle="1">
    <w:name w:val="Схема документа Знак"/>
    <w:basedOn w:val="858"/>
    <w:link w:val="861"/>
    <w:uiPriority w:val="99"/>
    <w:semiHidden/>
    <w:rPr>
      <w:rFonts w:ascii="Tahoma" w:hAnsi="Tahoma" w:cs="Tahoma"/>
      <w:sz w:val="16"/>
      <w:szCs w:val="16"/>
    </w:rPr>
  </w:style>
  <w:style w:type="character" w:styleId="863" w:customStyle="1">
    <w:name w:val="Заголовок 1 Знак"/>
    <w:basedOn w:val="858"/>
    <w:link w:val="853"/>
    <w:rPr>
      <w:rFonts w:ascii="Arial" w:hAnsi="Arial" w:eastAsia="Times New Roman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styleId="864" w:customStyle="1">
    <w:name w:val="Заголовок 2 Знак"/>
    <w:basedOn w:val="858"/>
    <w:link w:val="854"/>
    <w:rPr>
      <w:rFonts w:ascii="Arial" w:hAnsi="Arial" w:eastAsia="Times New Roman" w:cs="Arial"/>
      <w:b/>
      <w:bCs/>
      <w:szCs w:val="20"/>
      <w:lang w:val="en-US"/>
    </w:rPr>
  </w:style>
  <w:style w:type="character" w:styleId="865" w:customStyle="1">
    <w:name w:val="Заголовок 3 Знак"/>
    <w:basedOn w:val="858"/>
    <w:link w:val="855"/>
    <w:rPr>
      <w:rFonts w:ascii="Arial" w:hAnsi="Arial" w:eastAsia="Times New Roman" w:cs="Times New Roman"/>
      <w:b/>
      <w:bCs/>
      <w:szCs w:val="26"/>
    </w:rPr>
  </w:style>
  <w:style w:type="character" w:styleId="866" w:customStyle="1">
    <w:name w:val="Заголовок 4 Знак"/>
    <w:basedOn w:val="858"/>
    <w:link w:val="856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867" w:customStyle="1">
    <w:name w:val="Заголовок 5 Знак"/>
    <w:basedOn w:val="858"/>
    <w:link w:val="857"/>
    <w:uiPriority w:val="9"/>
    <w:rPr>
      <w:rFonts w:ascii="Arial" w:hAnsi="Arial" w:eastAsia="Times New Roman" w:cs="Arial"/>
      <w:sz w:val="20"/>
      <w:szCs w:val="18"/>
      <w:u w:val="single"/>
      <w:lang w:val="en-US"/>
    </w:rPr>
  </w:style>
  <w:style w:type="paragraph" w:styleId="868">
    <w:name w:val="Body Text"/>
    <w:basedOn w:val="852"/>
    <w:link w:val="869"/>
    <w:uiPriority w:val="99"/>
    <w:semiHidden/>
    <w:unhideWhenUsed/>
    <w:pPr>
      <w:spacing w:after="120"/>
    </w:pPr>
  </w:style>
  <w:style w:type="character" w:styleId="869" w:customStyle="1">
    <w:name w:val="Основной текст Знак"/>
    <w:basedOn w:val="858"/>
    <w:link w:val="868"/>
    <w:uiPriority w:val="99"/>
    <w:semiHidden/>
  </w:style>
  <w:style w:type="paragraph" w:styleId="870" w:customStyle="1">
    <w:name w:val="Table Contents"/>
    <w:basedOn w:val="852"/>
    <w:uiPriority w:val="99"/>
    <w:pPr>
      <w:spacing w:after="0" w:line="240" w:lineRule="auto"/>
      <w:widowControl w:val="off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871" w:customStyle="1">
    <w:name w:val="Table Heading"/>
    <w:basedOn w:val="870"/>
    <w:uiPriority w:val="99"/>
    <w:pPr>
      <w:jc w:val="center"/>
    </w:pPr>
    <w:rPr>
      <w:b/>
      <w:bCs/>
    </w:rPr>
  </w:style>
  <w:style w:type="table" w:styleId="872">
    <w:name w:val="Table Grid"/>
    <w:basedOn w:val="859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73">
    <w:name w:val="Hyperlink"/>
    <w:uiPriority w:val="99"/>
    <w:unhideWhenUsed/>
    <w:rPr>
      <w:color w:val="0000ff"/>
      <w:u w:val="single"/>
    </w:rPr>
  </w:style>
  <w:style w:type="paragraph" w:styleId="874">
    <w:name w:val="List Paragraph"/>
    <w:basedOn w:val="852"/>
    <w:uiPriority w:val="34"/>
    <w:qFormat/>
    <w:pPr>
      <w:contextualSpacing/>
      <w:ind w:left="720"/>
    </w:pPr>
  </w:style>
  <w:style w:type="paragraph" w:styleId="875" w:customStyle="1">
    <w:name w:val="Верхний колонтитул"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/>
      <w:tabs>
        <w:tab w:val="center" w:pos="4677" w:leader="none"/>
        <w:tab w:val="right" w:pos="9355" w:leader="none"/>
      </w:tabs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 CYR" w:hAnsi="Times New Roman CYR" w:eastAsia="Times New Roman" w:cs="Times New Roman CYR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ru-RU" w:eastAsia="ar-SA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Р7-Офис/2025.2.1.801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свиридова</dc:creator>
  <cp:keywords/>
  <dc:description/>
  <cp:lastModifiedBy>klevakin-am</cp:lastModifiedBy>
  <cp:revision>68</cp:revision>
  <dcterms:created xsi:type="dcterms:W3CDTF">2014-06-02T03:03:00Z</dcterms:created>
  <dcterms:modified xsi:type="dcterms:W3CDTF">2025-12-12T10:06:47Z</dcterms:modified>
</cp:coreProperties>
</file>