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</w:rPr>
      </w:pPr>
      <w:r>
        <w:rPr>
          <w:rFonts w:ascii="Times New Roman" w:hAnsi="Times New Roman"/>
          <w:b/>
          <w:bCs/>
        </w:rPr>
        <w:t>Протокол 32514594074-01-01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</w:rPr>
      </w:pPr>
      <w:r>
        <w:rPr>
          <w:rFonts w:ascii="Times New Roman" w:hAnsi="Times New Roman"/>
          <w:b/>
          <w:bCs/>
        </w:rPr>
        <w:t>подведения итогов запроса котировок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</w:rPr>
      </w:pPr>
      <w:r>
        <w:rPr>
          <w:rFonts w:ascii="Times New Roman" w:hAnsi="Times New Roman"/>
          <w:b/>
          <w:bCs/>
        </w:rPr>
        <w:t xml:space="preserve">№ </w:t>
      </w:r>
      <w:r>
        <w:rPr>
          <w:rFonts w:ascii="Times New Roman" w:hAnsi="Times New Roman"/>
          <w:b/>
          <w:bCs/>
        </w:rPr>
        <w:t>32514594074</w:t>
      </w:r>
      <w:r>
        <w:rPr>
          <w:rFonts w:cs="Arial" w:ascii="Arial" w:hAnsi="Arial"/>
        </w:rPr>
        <w:t xml:space="preserve"> </w:t>
        <w:br/>
      </w:r>
    </w:p>
    <w:tbl>
      <w:tblPr>
        <w:tblW w:w="10229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3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i/>
                <w:iCs/>
              </w:rPr>
              <w:t>Место публикации: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  <w:i/>
                <w:iCs/>
              </w:rPr>
              <w:t>Дата и время: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Российская Федерация, Респ. Бурятия, г. Улан-Удэ, ул. Павлова, дом 12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«18» марта 2025г.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br/>
      </w:r>
      <w:r>
        <w:rPr>
          <w:rFonts w:ascii="Times New Roman" w:hAnsi="Times New Roman"/>
          <w:i/>
          <w:iCs/>
        </w:rPr>
        <w:t xml:space="preserve"> 1. Заказчик: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ГОСУДАРСТВЕННОЕ АВТОНОМНОЕ УЧРЕЖДЕНИЕ ЗДРАВООХРАНЕНИЯ «РЕСПУБЛИКАНСКАЯ КЛИНИЧЕСКАЯ БОЛЬНИЦА ИМ. Н.А.СЕМАШКО» МИНИСТЕРСТВА ЗДРАВООХРАНЕНИЯ РЕСПУБЛИКИ БУРЯТИЯ</w:t>
      </w:r>
      <w:r>
        <w:rPr>
          <w:rFonts w:cs="Arial" w:ascii="Arial" w:hAnsi="Arial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2. Ответственный за процедуру: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Дехтяренко О.В.</w:t>
      </w:r>
      <w:r>
        <w:rPr>
          <w:rFonts w:cs="Arial" w:ascii="Arial" w:hAnsi="Arial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3. Наименование закупки: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Поставка лекарственного препарата Ципрофлоксацин</w:t>
      </w:r>
      <w:r>
        <w:rPr>
          <w:rFonts w:cs="Arial" w:ascii="Arial" w:hAnsi="Arial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4. Наименование предмета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Поставка лекарственного препарата Ципрофлоксацин</w:t>
      </w:r>
      <w:r>
        <w:rPr>
          <w:rFonts w:cs="Arial" w:ascii="Arial" w:hAnsi="Arial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5. Начальная (максимальная) цена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16788.61., в т. ч. НДС 0.00 %.</w:t>
      </w:r>
      <w:r>
        <w:rPr>
          <w:rFonts w:cs="Arial" w:ascii="Arial" w:hAnsi="Arial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6. Дата и время начала подачи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2025-03-11 03:00:00+03 (по московскому времени).</w:t>
      </w:r>
      <w:r>
        <w:rPr>
          <w:rFonts w:cs="Arial" w:ascii="Arial" w:hAnsi="Arial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7. Дата и время окончания подачи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2025-03-18 03:00:00+03 (по московскому времени).</w:t>
      </w:r>
      <w:r>
        <w:rPr>
          <w:rFonts w:cs="Arial" w:ascii="Arial" w:hAnsi="Arial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8. Дата и время рассмотрения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2025-03-18 11:00:00+03 (по московскому времени).</w:t>
      </w:r>
      <w:r>
        <w:rPr>
          <w:rFonts w:cs="Arial" w:ascii="Arial" w:hAnsi="Arial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9. Срок исполнения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до 31.12.2025г</w:t>
      </w:r>
      <w:r>
        <w:rPr>
          <w:rFonts w:cs="Arial" w:ascii="Arial" w:hAnsi="Arial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10. Место подведения итогов: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Российская Федерация, Респ. Бурятия, г. Улан-Удэ, ул. Павлова, дом 12.</w:t>
      </w:r>
      <w:r>
        <w:rPr>
          <w:rFonts w:cs="Arial" w:ascii="Arial" w:hAnsi="Arial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 xml:space="preserve">11. Классификация товаров, работ, услуг: </w:t>
      </w:r>
      <w:r>
        <w:rPr>
          <w:rFonts w:cs="Arial" w:ascii="Arial" w:hAnsi="Arial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4069"/>
        <w:gridCol w:w="3078"/>
        <w:gridCol w:w="3080"/>
      </w:tblGrid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Код ОКПД 2</w:t>
            </w:r>
            <w:r>
              <w:rPr>
                <w:rFonts w:cs="Arial" w:ascii="Arial" w:hAnsi="Arial"/>
              </w:rPr>
              <w:t xml:space="preserve"> </w:t>
              <w:br/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Код ОКВЭД 2</w:t>
            </w:r>
            <w:r>
              <w:rPr>
                <w:rFonts w:cs="Arial" w:ascii="Arial" w:hAnsi="Arial"/>
              </w:rPr>
              <w:t xml:space="preserve"> </w:t>
              <w:br/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Количество (ед. измерения)</w:t>
            </w:r>
            <w:r>
              <w:rPr>
                <w:rFonts w:cs="Arial" w:ascii="Arial" w:hAnsi="Arial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21.20.10.191 Препараты антибактериальные для системного использования</w:t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46.46.1 Торговля оптовая фармацевтической продукцией</w:t>
            </w:r>
            <w:r>
              <w:rPr>
                <w:rFonts w:cs="Arial" w:ascii="Arial" w:hAnsi="Arial"/>
              </w:rPr>
              <w:t xml:space="preserve"> </w:t>
              <w:br/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135.00000 УПАК</w:t>
            </w:r>
            <w:r>
              <w:rPr>
                <w:rFonts w:cs="Arial" w:ascii="Arial" w:hAnsi="Arial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21.20.10.191 Препараты антибактериальные для системного использования</w:t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46.46.1 Торговля оптовая фармацевтической продукцией</w:t>
            </w:r>
            <w:r>
              <w:rPr>
                <w:rFonts w:cs="Arial" w:ascii="Arial" w:hAnsi="Arial"/>
              </w:rPr>
              <w:t xml:space="preserve"> </w:t>
              <w:br/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188.00000 УПАК</w:t>
            </w:r>
            <w:r>
              <w:rPr>
                <w:rFonts w:cs="Arial" w:ascii="Arial" w:hAnsi="Arial"/>
              </w:rPr>
              <w:t xml:space="preserve">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br/>
      </w:r>
      <w:r>
        <w:rPr>
          <w:rFonts w:ascii="Times New Roman" w:hAnsi="Times New Roman"/>
          <w:i/>
          <w:iCs/>
        </w:rPr>
        <w:t xml:space="preserve"> 12. Преференции для поставщиков:</w:t>
      </w:r>
      <w:r>
        <w:rPr>
          <w:rFonts w:ascii="Times New Roman" w:hAnsi="Times New Roman"/>
        </w:rPr>
        <w:t xml:space="preserve"> установлен приоритет товаров российского происхождения, работ и услуг, выполняемых и оказываемых российскими лицами. </w:t>
      </w:r>
      <w:r>
        <w:rPr>
          <w:rFonts w:cs="Arial" w:ascii="Arial" w:hAnsi="Arial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</w:rPr>
      </w:pPr>
      <w:r>
        <w:rPr>
          <w:rFonts w:ascii="Times New Roman" w:hAnsi="Times New Roman"/>
        </w:rPr>
        <w:t>13. Извещение и документация о проведении открытого запроса котировок в электронной форме размещены на официальном сайте по адресу в сети Интернет: www.zakupki.gov.ru и на электронной торговой площадке etpgpb.ru процедура    № 32514594074 лот № 1.</w:t>
      </w:r>
      <w:r>
        <w:rPr>
          <w:rFonts w:cs="Arial" w:ascii="Arial" w:hAnsi="Arial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14. На заседании комиссии (кворум имеется) по подведению итогов присутствуют: </w:t>
        <w:br/>
      </w:r>
      <w:r>
        <w:rPr>
          <w:rFonts w:ascii="Times New Roman" w:hAnsi="Times New Roman"/>
          <w:b/>
          <w:bCs/>
        </w:rPr>
        <w:t>Члены единой комиссии:</w:t>
      </w:r>
      <w:r>
        <w:rPr>
          <w:rFonts w:ascii="Times New Roman" w:hAnsi="Times New Roman"/>
        </w:rPr>
        <w:t xml:space="preserve"> </w:t>
        <w:br/>
        <w:t>Председатель комиссии: Нелюбин А.Г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Зам. председателя комиссии: Фурманова Е.П.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Член комиссии: Никитина Н.А.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Член комиссии: Иванова В.С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Член комиссии: Васильева Т.А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Член комиссии: Костылев М.В.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Член комиссии: Баранникова О.Н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Секретарь комиссии без права голоса: Дехтяренко О.В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Лаврина Н.В- член комиссии-</w:t>
      </w:r>
      <w:r>
        <w:rPr>
          <w:rFonts w:ascii="Times New Roman" w:hAnsi="Times New Roman"/>
          <w:b/>
        </w:rPr>
        <w:t>отсутствует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15. На момент окончания срока подачи заявок на участие в запросе котировок    было подано 0</w:t>
      </w:r>
      <w:r>
        <w:rPr>
          <w:rFonts w:cs="Arial" w:ascii="Arial" w:hAnsi="Arial"/>
        </w:rPr>
        <w:t xml:space="preserve"> </w:t>
        <w:br/>
        <w:t xml:space="preserve"> </w:t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530"/>
        <w:gridCol w:w="2052"/>
        <w:gridCol w:w="2566"/>
        <w:gridCol w:w="1539"/>
        <w:gridCol w:w="1540"/>
      </w:tblGrid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Наименование участника закупки</w:t>
            </w:r>
            <w:r>
              <w:rPr>
                <w:rFonts w:cs="Arial" w:ascii="Arial" w:hAnsi="Arial"/>
              </w:rPr>
              <w:t xml:space="preserve"> </w:t>
              <w:br/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ИНН/КПП/ОГРН</w:t>
            </w:r>
            <w:r>
              <w:rPr>
                <w:rFonts w:cs="Arial" w:ascii="Arial" w:hAnsi="Arial"/>
              </w:rPr>
              <w:t xml:space="preserve"> </w:t>
              <w:br/>
            </w:r>
          </w:p>
        </w:tc>
        <w:tc>
          <w:tcPr>
            <w:tcW w:w="2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Почтовый адрес</w:t>
            </w:r>
            <w:r>
              <w:rPr>
                <w:rFonts w:cs="Arial" w:ascii="Arial" w:hAnsi="Arial"/>
              </w:rPr>
              <w:t xml:space="preserve"> </w:t>
              <w:br/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Ценовое предложение</w:t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Дата и время подачи заявки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br/>
      </w:r>
      <w:r>
        <w:rPr>
          <w:rFonts w:ascii="Times New Roman" w:hAnsi="Times New Roman"/>
        </w:rPr>
        <w:t xml:space="preserve"> 16. Результаты рассмотрения заявок    запроса котировок в электронной форме:</w:t>
      </w:r>
      <w:r>
        <w:rPr>
          <w:rFonts w:cs="Arial" w:ascii="Arial" w:hAnsi="Arial"/>
        </w:rPr>
        <w:t xml:space="preserve"> </w:t>
        <w:br/>
        <w:t xml:space="preserve"> </w:t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530"/>
        <w:gridCol w:w="2052"/>
        <w:gridCol w:w="5645"/>
      </w:tblGrid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Наименование участника закупки</w:t>
            </w:r>
            <w:r>
              <w:rPr>
                <w:rFonts w:cs="Arial" w:ascii="Arial" w:hAnsi="Arial"/>
              </w:rPr>
              <w:t xml:space="preserve"> </w:t>
              <w:br/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Входящий номер заявки</w:t>
            </w:r>
            <w:r>
              <w:rPr>
                <w:rFonts w:cs="Arial" w:ascii="Arial" w:hAnsi="Arial"/>
              </w:rPr>
              <w:t xml:space="preserve"> </w:t>
              <w:br/>
            </w:r>
          </w:p>
        </w:tc>
        <w:tc>
          <w:tcPr>
            <w:tcW w:w="5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Решение о соответствии или несоответствии требованиям</w:t>
            </w:r>
            <w:r>
              <w:rPr>
                <w:rFonts w:cs="Arial" w:ascii="Arial" w:hAnsi="Arial"/>
              </w:rPr>
              <w:t xml:space="preserve">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br/>
      </w:r>
      <w:r>
        <w:rPr>
          <w:rFonts w:ascii="Times New Roman" w:hAnsi="Times New Roman"/>
        </w:rPr>
        <w:t xml:space="preserve"> 17. Сведения о ценовых предложениях, поданных участниками, заявки которых были признаны соответствующими требованиям, и присвоенных итоговых позициях:</w:t>
      </w:r>
      <w:r>
        <w:rPr>
          <w:rFonts w:cs="Arial" w:ascii="Arial" w:hAnsi="Arial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555"/>
        <w:gridCol w:w="2259"/>
        <w:gridCol w:w="2258"/>
        <w:gridCol w:w="2155"/>
      </w:tblGrid>
      <w:tr>
        <w:trPr>
          <w:trHeight w:val="100" w:hRule="atLeast"/>
        </w:trPr>
        <w:tc>
          <w:tcPr>
            <w:tcW w:w="3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Наименование участника закупки</w:t>
            </w:r>
            <w:r>
              <w:rPr>
                <w:rFonts w:cs="Arial" w:ascii="Arial" w:hAnsi="Arial"/>
              </w:rPr>
              <w:t xml:space="preserve"> </w:t>
              <w:br/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Ценовое предложение</w:t>
            </w:r>
            <w:r>
              <w:rPr>
                <w:rFonts w:cs="Arial" w:ascii="Arial" w:hAnsi="Arial"/>
              </w:rPr>
              <w:t xml:space="preserve"> </w:t>
              <w:br/>
            </w:r>
          </w:p>
        </w:tc>
        <w:tc>
          <w:tcPr>
            <w:tcW w:w="2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Ценовое предложение с учетом приоритета 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Результат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          </w:t>
      </w:r>
      <w:r>
        <w:rPr>
          <w:rFonts w:cs="Arial" w:ascii="Arial" w:hAnsi="Arial"/>
        </w:rPr>
        <w:br/>
      </w:r>
      <w:r>
        <w:rPr>
          <w:rFonts w:ascii="Times New Roman" w:hAnsi="Times New Roman"/>
        </w:rPr>
        <w:t>18. Запрос котировок в электронной форме с 01.01.2019 признается несостоявшимся. Обоснование принятого решения на основании п.п. 6.14.1.1 пункта 6.14.1 раздела 6.14 главы 6 ПОЛОЖЕНИЯ о закупке запрос котировок в электронной форме признан несостоявшимся, ни подано ни одной заявки</w:t>
      </w:r>
      <w:r>
        <w:rPr>
          <w:rFonts w:cs="Arial" w:ascii="Arial" w:hAnsi="Arial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</w:rPr>
      </w:pPr>
      <w:r>
        <w:rPr>
          <w:rFonts w:ascii="Times New Roman" w:hAnsi="Times New Roman"/>
        </w:rPr>
        <w:t>19. Настоящий протокол подведения итогов в запросе котировок подписан всеми присутствующими на заседании членами комиссии и подлежит публикации на официальном сайте ЕИС zakupki.gov.ru</w:t>
      </w:r>
      <w:r>
        <w:rPr>
          <w:rFonts w:cs="Arial" w:ascii="Arial" w:hAnsi="Arial"/>
        </w:rPr>
        <w:t xml:space="preserve"> </w:t>
        <w:br/>
      </w:r>
    </w:p>
    <w:tbl>
      <w:tblPr>
        <w:tblW w:w="10095" w:type="dxa"/>
        <w:jc w:val="start"/>
        <w:tblInd w:w="-3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999"/>
        <w:gridCol w:w="3212"/>
        <w:gridCol w:w="2460"/>
        <w:gridCol w:w="424"/>
      </w:tblGrid>
      <w:tr>
        <w:trPr>
          <w:trHeight w:val="567" w:hRule="atLeast"/>
          <w:cantSplit w:val="true"/>
        </w:trPr>
        <w:tc>
          <w:tcPr>
            <w:tcW w:w="9671" w:type="dxa"/>
            <w:gridSpan w:val="3"/>
            <w:tcBorders/>
            <w:vAlign w:val="center"/>
          </w:tcPr>
          <w:p>
            <w:pPr>
              <w:pStyle w:val="ListParagraph"/>
              <w:tabs>
                <w:tab w:val="clear" w:pos="720"/>
              </w:tabs>
              <w:bidi w:val="0"/>
              <w:spacing w:lineRule="auto" w:line="254" w:before="0" w:after="0"/>
              <w:ind w:hanging="0" w:start="360" w:end="0"/>
              <w:contextualSpacing/>
              <w:rPr/>
            </w:pPr>
            <w:r>
              <w:rPr>
                <w:sz w:val="22"/>
                <w:szCs w:val="22"/>
              </w:rPr>
              <w:t xml:space="preserve">                </w:t>
            </w:r>
            <w:r>
              <w:rPr>
                <w:b/>
                <w:bCs/>
                <w:sz w:val="22"/>
                <w:szCs w:val="22"/>
              </w:rPr>
              <w:t>Члены комиссии, присутствующие на заседании:</w:t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59" w:before="0" w:after="0"/>
              <w:ind w:hanging="0" w:start="0" w:end="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3999" w:type="dxa"/>
            <w:tcBorders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360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Председатель комиссии</w:t>
            </w:r>
          </w:p>
        </w:tc>
        <w:tc>
          <w:tcPr>
            <w:tcW w:w="3212" w:type="dxa"/>
            <w:tcBorders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360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_______________________</w:t>
            </w:r>
          </w:p>
        </w:tc>
        <w:tc>
          <w:tcPr>
            <w:tcW w:w="2884" w:type="dxa"/>
            <w:gridSpan w:val="2"/>
            <w:tcBorders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360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Нелюбин А.Г.</w:t>
            </w:r>
          </w:p>
        </w:tc>
      </w:tr>
      <w:tr>
        <w:trPr/>
        <w:tc>
          <w:tcPr>
            <w:tcW w:w="3999" w:type="dxa"/>
            <w:tcBorders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bidi w:val="0"/>
              <w:spacing w:lineRule="auto" w:line="360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Зам. председателя комиссии</w:t>
            </w:r>
          </w:p>
        </w:tc>
        <w:tc>
          <w:tcPr>
            <w:tcW w:w="3212" w:type="dxa"/>
            <w:tcBorders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bidi w:val="0"/>
              <w:spacing w:lineRule="auto" w:line="360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_______________________</w:t>
            </w:r>
          </w:p>
        </w:tc>
        <w:tc>
          <w:tcPr>
            <w:tcW w:w="2884" w:type="dxa"/>
            <w:gridSpan w:val="2"/>
            <w:tcBorders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bidi w:val="0"/>
              <w:spacing w:lineRule="auto" w:line="360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Фурманова Е.П.</w:t>
            </w:r>
          </w:p>
        </w:tc>
      </w:tr>
      <w:tr>
        <w:trPr/>
        <w:tc>
          <w:tcPr>
            <w:tcW w:w="3999" w:type="dxa"/>
            <w:tcBorders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bidi w:val="0"/>
              <w:spacing w:lineRule="auto" w:line="360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3212" w:type="dxa"/>
            <w:tcBorders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bidi w:val="0"/>
              <w:spacing w:lineRule="auto" w:line="360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________________________</w:t>
            </w:r>
          </w:p>
        </w:tc>
        <w:tc>
          <w:tcPr>
            <w:tcW w:w="2884" w:type="dxa"/>
            <w:gridSpan w:val="2"/>
            <w:tcBorders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bidi w:val="0"/>
              <w:spacing w:lineRule="auto" w:line="360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Иванова В.С.</w:t>
            </w:r>
          </w:p>
        </w:tc>
      </w:tr>
      <w:tr>
        <w:trPr/>
        <w:tc>
          <w:tcPr>
            <w:tcW w:w="3999" w:type="dxa"/>
            <w:tcBorders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bidi w:val="0"/>
              <w:spacing w:lineRule="auto" w:line="360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3212" w:type="dxa"/>
            <w:tcBorders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bidi w:val="0"/>
              <w:spacing w:lineRule="auto" w:line="360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________________________</w:t>
            </w:r>
          </w:p>
        </w:tc>
        <w:tc>
          <w:tcPr>
            <w:tcW w:w="2884" w:type="dxa"/>
            <w:gridSpan w:val="2"/>
            <w:tcBorders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bidi w:val="0"/>
              <w:spacing w:lineRule="auto" w:line="360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Никитина Н.А.</w:t>
            </w:r>
          </w:p>
        </w:tc>
      </w:tr>
      <w:tr>
        <w:trPr/>
        <w:tc>
          <w:tcPr>
            <w:tcW w:w="3999" w:type="dxa"/>
            <w:tcBorders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bidi w:val="0"/>
              <w:spacing w:lineRule="auto" w:line="360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3212" w:type="dxa"/>
            <w:tcBorders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bidi w:val="0"/>
              <w:spacing w:lineRule="auto" w:line="360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________________________</w:t>
            </w:r>
          </w:p>
        </w:tc>
        <w:tc>
          <w:tcPr>
            <w:tcW w:w="2884" w:type="dxa"/>
            <w:gridSpan w:val="2"/>
            <w:tcBorders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bidi w:val="0"/>
              <w:spacing w:lineRule="auto" w:line="360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Костылев М.В.</w:t>
            </w:r>
          </w:p>
        </w:tc>
      </w:tr>
      <w:tr>
        <w:trPr/>
        <w:tc>
          <w:tcPr>
            <w:tcW w:w="3999" w:type="dxa"/>
            <w:tcBorders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bidi w:val="0"/>
              <w:spacing w:lineRule="auto" w:line="360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3212" w:type="dxa"/>
            <w:tcBorders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bidi w:val="0"/>
              <w:spacing w:lineRule="auto" w:line="360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________________________</w:t>
            </w:r>
          </w:p>
        </w:tc>
        <w:tc>
          <w:tcPr>
            <w:tcW w:w="2884" w:type="dxa"/>
            <w:gridSpan w:val="2"/>
            <w:tcBorders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bidi w:val="0"/>
              <w:spacing w:lineRule="auto" w:line="360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Баранникова О.Н.</w:t>
            </w:r>
          </w:p>
        </w:tc>
      </w:tr>
      <w:tr>
        <w:trPr/>
        <w:tc>
          <w:tcPr>
            <w:tcW w:w="3999" w:type="dxa"/>
            <w:tcBorders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bidi w:val="0"/>
              <w:spacing w:lineRule="auto" w:line="360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3212" w:type="dxa"/>
            <w:tcBorders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bidi w:val="0"/>
              <w:spacing w:lineRule="auto" w:line="360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________________________</w:t>
            </w:r>
          </w:p>
        </w:tc>
        <w:tc>
          <w:tcPr>
            <w:tcW w:w="2884" w:type="dxa"/>
            <w:gridSpan w:val="2"/>
            <w:tcBorders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bidi w:val="0"/>
              <w:spacing w:lineRule="auto" w:line="360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Васильева Т.А</w:t>
            </w:r>
          </w:p>
        </w:tc>
      </w:tr>
      <w:tr>
        <w:trPr/>
        <w:tc>
          <w:tcPr>
            <w:tcW w:w="3999" w:type="dxa"/>
            <w:tcBorders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bidi w:val="0"/>
              <w:spacing w:lineRule="auto" w:line="360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Секретарь комиссии без права голоса</w:t>
            </w:r>
          </w:p>
        </w:tc>
        <w:tc>
          <w:tcPr>
            <w:tcW w:w="3212" w:type="dxa"/>
            <w:tcBorders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bidi w:val="0"/>
              <w:spacing w:lineRule="auto" w:line="360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________________________</w:t>
            </w:r>
          </w:p>
        </w:tc>
        <w:tc>
          <w:tcPr>
            <w:tcW w:w="2884" w:type="dxa"/>
            <w:gridSpan w:val="2"/>
            <w:tcBorders/>
            <w:tcMar>
              <w:top w:w="30" w:type="dxa"/>
              <w:start w:w="30" w:type="dxa"/>
              <w:bottom w:w="30" w:type="dxa"/>
              <w:end w:w="30" w:type="dxa"/>
            </w:tcMar>
            <w:vAlign w:val="center"/>
          </w:tcPr>
          <w:p>
            <w:pPr>
              <w:pStyle w:val="Normal"/>
              <w:bidi w:val="0"/>
              <w:spacing w:lineRule="auto" w:line="360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Дехтяренко О.В.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sectPr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paragraph" w:styleId="ListParagraph">
    <w:name w:val="List Paragraph"/>
    <w:basedOn w:val="Normal"/>
    <w:qFormat/>
    <w:pPr>
      <w:widowControl w:val="false"/>
      <w:spacing w:lineRule="auto" w:line="240" w:before="0" w:after="0"/>
      <w:ind w:hanging="0" w:start="720" w:end="0"/>
      <w:contextualSpacing/>
      <w:jc w:val="start"/>
      <w:textAlignment w:val="auto"/>
    </w:pPr>
    <w:rPr>
      <w:rFonts w:ascii="Times New Roman" w:hAnsi="Times New Roman" w:eastAsia="Times New Roman" w:cs="Times New Roman"/>
      <w:sz w:val="20"/>
      <w:szCs w:val="20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99</Pages>
  <Words>591</Words>
  <Characters>3954</Characters>
  <CharactersWithSpaces>3370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2025-03-19T08:54:00Z</dcterms:created>
  <dc:creator>paggard</dc:creator>
  <dc:description/>
  <dc:language>en-US</dc:language>
  <cp:lastModifiedBy/>
  <dcterms:modified xsi:type="dcterms:W3CDTF">2025-03-19T08:54:00Z</dcterms:modified>
  <cp:revision>2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Дехтяренко Оксана Васильевна</vt:lpwstr>
  </property>
</Properties>
</file>